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FA" w:rsidRDefault="004B52D5">
      <w:pPr>
        <w:pStyle w:val="Standard"/>
        <w:jc w:val="center"/>
        <w:rPr>
          <w:rFonts w:hint="eastAsia"/>
          <w:b/>
          <w:color w:val="333399"/>
        </w:rPr>
      </w:pPr>
      <w:r>
        <w:rPr>
          <w:b/>
          <w:color w:val="333399"/>
        </w:rPr>
        <w:t xml:space="preserve">PRZEDMIOTOWY SYSTEM OCENIANIA Z GEOGRAFII OBOWIĄZUJĄCY </w:t>
      </w:r>
      <w:r>
        <w:rPr>
          <w:b/>
          <w:color w:val="333399"/>
        </w:rPr>
        <w:br/>
        <w:t>W SZKOLE PODSTAWOWEJ NR 29 W KATOWICACH</w:t>
      </w:r>
    </w:p>
    <w:p w:rsidR="009069FA" w:rsidRDefault="009069FA">
      <w:pPr>
        <w:pStyle w:val="Standard"/>
        <w:rPr>
          <w:rFonts w:hint="eastAsia"/>
          <w:b/>
          <w:bCs/>
          <w:color w:val="333399"/>
        </w:rPr>
      </w:pPr>
    </w:p>
    <w:p w:rsidR="009069FA" w:rsidRDefault="004B52D5">
      <w:pPr>
        <w:pStyle w:val="Default"/>
        <w:spacing w:after="191"/>
      </w:pPr>
      <w:r>
        <w:t>Nauczanie geografii w szkole podstawowej jest zgodne z programem nauczania opracowanym przez autorów: Ewę Marię Tuz i Barbarę Dziedzic.</w:t>
      </w:r>
    </w:p>
    <w:p w:rsidR="009069FA" w:rsidRDefault="004B52D5">
      <w:pPr>
        <w:pStyle w:val="Default"/>
        <w:spacing w:after="191"/>
      </w:pPr>
      <w:r>
        <w:t>Podręcznik do geografii - Planeta Nowa kl.7, Wydawnictwo: Nowa Era,                                                             nr dopuszczenia przez MEN: 906/3/2017, autorzy podręcznika: Roman Malarz, Mariusz Szubert.</w:t>
      </w:r>
    </w:p>
    <w:p w:rsidR="009069FA" w:rsidRDefault="004B52D5">
      <w:pPr>
        <w:pStyle w:val="Default"/>
      </w:pPr>
      <w:r>
        <w:t>Program realizowany jest w ciągu pięciu godzin w czteroletnim cyklu nauczania:                                            klasa 5 - 1 h tygodniowo,</w:t>
      </w:r>
    </w:p>
    <w:p w:rsidR="009069FA" w:rsidRDefault="004B52D5">
      <w:pPr>
        <w:pStyle w:val="Default"/>
      </w:pPr>
      <w:r>
        <w:t>klasa 6 – 1 h tygodniowo,</w:t>
      </w:r>
    </w:p>
    <w:p w:rsidR="009069FA" w:rsidRDefault="004B52D5">
      <w:pPr>
        <w:pStyle w:val="Default"/>
      </w:pPr>
      <w:r>
        <w:t>klasa 7 – 2 h tygodniowo.</w:t>
      </w:r>
    </w:p>
    <w:p w:rsidR="009069FA" w:rsidRDefault="004B52D5">
      <w:pPr>
        <w:pStyle w:val="Default"/>
      </w:pPr>
      <w:r>
        <w:t>klasa 8 -  1 h tygodniowo,</w:t>
      </w:r>
    </w:p>
    <w:p w:rsidR="009069FA" w:rsidRDefault="004B52D5">
      <w:pPr>
        <w:pStyle w:val="Standard"/>
        <w:spacing w:before="280"/>
        <w:ind w:left="11" w:hanging="363"/>
        <w:rPr>
          <w:rFonts w:hint="eastAsia"/>
        </w:rPr>
      </w:pPr>
      <w:r>
        <w:t xml:space="preserve">      Przedmiotowy System Oceniania z Geografii obejmuje ocenę wiadomości i umiejętności wynikających z programu nauczania oraz postawy ucznia na lekcji.</w:t>
      </w:r>
    </w:p>
    <w:p w:rsidR="009069FA" w:rsidRDefault="004B52D5">
      <w:pPr>
        <w:pStyle w:val="Standard"/>
        <w:rPr>
          <w:rFonts w:hint="eastAsia"/>
        </w:rPr>
      </w:pPr>
      <w:r>
        <w:t>W koncepcji programu przyjęto, że edukacja geograficzna w szkole podstawowej, wspomagając rozwój ucznia jako osoby i wprowadzając go w życie społeczne, zakłada przede wszystkim:</w:t>
      </w:r>
    </w:p>
    <w:p w:rsidR="009069FA" w:rsidRDefault="009069FA">
      <w:pPr>
        <w:pStyle w:val="Standard"/>
        <w:rPr>
          <w:rFonts w:hint="eastAsia"/>
        </w:rPr>
      </w:pPr>
    </w:p>
    <w:p w:rsidR="009069FA" w:rsidRDefault="004B52D5">
      <w:pPr>
        <w:pStyle w:val="Default"/>
        <w:rPr>
          <w:u w:val="single"/>
        </w:rPr>
      </w:pPr>
      <w:r>
        <w:rPr>
          <w:u w:val="single"/>
        </w:rPr>
        <w:t>I. W sferze wiedzy geograficznej:</w:t>
      </w:r>
    </w:p>
    <w:p w:rsidR="009069FA" w:rsidRDefault="009069FA">
      <w:pPr>
        <w:pStyle w:val="Default"/>
        <w:rPr>
          <w:u w:val="single"/>
        </w:rPr>
      </w:pPr>
    </w:p>
    <w:p w:rsidR="009069FA" w:rsidRDefault="004B52D5">
      <w:pPr>
        <w:pStyle w:val="Default"/>
        <w:spacing w:after="188"/>
      </w:pPr>
      <w:r>
        <w:t xml:space="preserve">1. poznanie podstawowych metod badań geograficznych, interpretacji oraz prezentacji ich wyników,                                                                                                                                                 2. opanowanie podstawowego słownictwa geograficznego w celu opisywania oraz wyjaśniania występujących w środowisku geograficznym zjawisk i zachodzących w nim procesów,                             3. poznanie wybranych krajobrazów Polski i świata, ich głównych cech i składników,                               4. poznanie dziedzictwa kultury regionalnej oraz narodowej i postrzeganie go w perspektywie kultury europejskiej oraz światowej,                                                                                                             5. określenie miejsca i roli Polski oraz Polaków we współczesnym świecie,                                                   6. poznanie głównych cech środowiska geograficznego Polski, własnego regionu i najbliższego otoczenia – „małej ojczyzny”, a także wybranych krajów i regionów Europy oraz świata,                         7. poznanie i opisywanie zjawisk oraz procesów zachodzących w środowisku przyrodniczym Polski, a także wybranych krajów i regionów Europy oraz świata,                                                                    8. integrowanie wiedzy przyrodniczej z wiedzą społeczno-ekonomiczną i humanistyczną,                         9. poznanie zróżnicowanych form działalności człowieka w środowisku, ich uwarunkowań </w:t>
      </w:r>
      <w:r>
        <w:br/>
        <w:t>i konsekwencji oraz potrzeby racjonalnego gospodarowania zasobami przyrody zgodnie z zasadą zrównoważonego rozwoju,                                                                                                                             10. poznanie i zrozumienie wybranych problemów społeczno-gospodarczych w skali lokalnej, regionalnej i globalnej,                                                                                                                              11. poznanie zróżnicowania społeczno-gospodarczego i kulturowego społeczeństw na świecie poprzez pogłębienie wiedzy o ludziach, społecznościach i narodowościach,                                                        12. rozumienie współzależności między elementami środowiska przyrodniczego i społeczno-gospodarczego oraz związków i zależności w środowisku geograficznym w skali lokalnej, regionalnej i globalnej,                                                                                                                                      13. określenie prawidłowości w zakresie przestrzennego zróżnicowania warunków środowiska przyrodniczego oraz życia i różnych form działalności człowieka,                                                                    14. wiązanie aktualnych wydarzeń społecznych i politycznych z przeszłością,                                             15. zdobycie wiedzy niezbędnej do zrozumienia istoty zjawisk oraz charakteru i dynamiki procesów zachodzących w środowisku geograficznym w skali lokalnej, krajowej (geografia Polski), wielkich regionów oraz świata w różnych skalach czasowych,                                                                                       16. dążenie do rozumienia treści geograficznych, a nie tylko do ich pamięciowego opanowania,</w:t>
      </w:r>
    </w:p>
    <w:p w:rsidR="009069FA" w:rsidRDefault="004B52D5">
      <w:pPr>
        <w:pStyle w:val="Default"/>
        <w:spacing w:after="188"/>
      </w:pPr>
      <w:r>
        <w:lastRenderedPageBreak/>
        <w:t xml:space="preserve">17. traktowanie wiadomości geograficznych, stanowiących wartość poznawczą samą w sobie, </w:t>
      </w:r>
      <w:r>
        <w:br/>
        <w:t>w sposób integralny, prowadzący do lepszego rozumienia świata, ludzi i siebie,                                                 18. dostrzeganie różnego rodzaju związków i zależności (przyczynowo-skutkowych, funkcjonalnych, czasowych i przestrzennych).</w:t>
      </w:r>
    </w:p>
    <w:p w:rsidR="009069FA" w:rsidRDefault="009069FA">
      <w:pPr>
        <w:pStyle w:val="Standard"/>
        <w:rPr>
          <w:rFonts w:hint="eastAsia"/>
          <w:color w:val="000000"/>
        </w:rPr>
      </w:pPr>
    </w:p>
    <w:p w:rsidR="009069FA" w:rsidRDefault="004B52D5">
      <w:pPr>
        <w:pStyle w:val="Default"/>
        <w:rPr>
          <w:u w:val="single"/>
        </w:rPr>
      </w:pPr>
      <w:r>
        <w:rPr>
          <w:u w:val="single"/>
        </w:rPr>
        <w:t>II. W sferze umiejętności i stosowania wiedzy w praktyce:</w:t>
      </w:r>
    </w:p>
    <w:p w:rsidR="009069FA" w:rsidRDefault="009069FA">
      <w:pPr>
        <w:pStyle w:val="Default"/>
        <w:rPr>
          <w:u w:val="single"/>
        </w:rPr>
      </w:pPr>
    </w:p>
    <w:p w:rsidR="009069FA" w:rsidRDefault="004B52D5">
      <w:pPr>
        <w:pStyle w:val="Default"/>
        <w:spacing w:after="188"/>
      </w:pPr>
      <w:r>
        <w:t xml:space="preserve">1. planowanie, organizowanie i ocenianie własnej nauki oraz wzięcie za nią odpowiedzialności teraz i w przyszłości,                                                                                                                                              2. skuteczne porozumiewanie się w różnych sytuacjach, prezentację własnego punktu widzenia </w:t>
      </w:r>
      <w:r>
        <w:br/>
        <w:t xml:space="preserve">i uwzględnianie poglądów innych ludzi,                                                                                                              3. poprawne posługiwanie się językiem ojczystym oraz przygotowywanie się do publicznych wystąpień,                                                                                                                                                                4. prowadzenie obserwacji i pomiarów w terenie, analizowanie, dokonywanie opisu, porównywanie, klasyfikowanie,                                                                                                                         5. wykorzystywanie wiedzy i umiejętności geograficznych w celu lepszego rozumienia współczesnego świata,                                                                                                                                     6. korzystanie z planów, map, fotografii, rysunków, wykresów, danych statystycznych, tekstów źródłowych oraz technologii informacyjno-komunikacyjnych w celu zdobywania, przetwarzania </w:t>
      </w:r>
      <w:r>
        <w:br/>
        <w:t xml:space="preserve">i prezentowania informacji geograficznych,                                                                                                            7. czytanie i interpretację map różnej treści,                                                                                                        8. określanie związków i zależności między poszczególnymi elementami środowiska przyrodniczego, ich wpływu na warunki życia człowieka i jego działalność, formułowanie twierdzeń o prawidłowościach, dokonywanie uogólnień,                                                                                9. ocenę uwarunkowań procesów przyrodniczych i społeczno-gospodarczych zachodzących w skali globalnej, regionalnej i lokalnej oraz różnych skalach czasowych,                                                                 10. wskazywanie i analizę związków przyczynowo-skutkowych oraz powiązań funkcjonalnych pomiędzy poszczególnymi komponentami środowiska geograficznego w różnych skalach przestrzennych i czasowych,                                                                                                                         11. krytyczne myślenie, formułowanie sądów, wartościowanie, ocenianie zjawisk oraz procesów społeczno-kulturowych i gospodarczych zachodzących w różnych regionach                                                              12. stawianie pytań, formułowanie hipotez i kreatywne rozwiązywanie problemów,                                          13. podejmowanie nowych wyzwań oraz racjonalnych działań prośrodowiskowych </w:t>
      </w:r>
      <w:r>
        <w:br/>
        <w:t>i prospołecznych,                                                                                                                                                      14. rozwijanie umiejętności percepcji przestrzeni i wyobraźni przestrzennej,                                                           15. podejmowanie konstruktywnej współpracy z innymi, nabywanie kultury sprzyjającej umiejętności komunikowania się, kształtowania trwałych i skutecznych relacji w grupie, empatii, 16. wykorzystanie zdobytej wiedzy i umiejętności geograficznych w życiu codziennym,                          17. rozwijanie sprawności umysłowej oraz osobistych zainteresowań.</w:t>
      </w:r>
    </w:p>
    <w:p w:rsidR="009069FA" w:rsidRDefault="009069FA">
      <w:pPr>
        <w:pStyle w:val="Default"/>
      </w:pPr>
    </w:p>
    <w:p w:rsidR="009069FA" w:rsidRDefault="004B52D5">
      <w:pPr>
        <w:pStyle w:val="Default"/>
        <w:rPr>
          <w:u w:val="single"/>
        </w:rPr>
      </w:pPr>
      <w:r>
        <w:rPr>
          <w:u w:val="single"/>
        </w:rPr>
        <w:t>III. W sferze postaw i wartości (cele wychowawcze, aksjologiczne):</w:t>
      </w:r>
    </w:p>
    <w:p w:rsidR="009069FA" w:rsidRDefault="009069FA">
      <w:pPr>
        <w:pStyle w:val="Default"/>
        <w:rPr>
          <w:u w:val="single"/>
        </w:rPr>
      </w:pPr>
    </w:p>
    <w:p w:rsidR="009069FA" w:rsidRDefault="004B52D5">
      <w:pPr>
        <w:pStyle w:val="Default"/>
        <w:spacing w:after="188"/>
      </w:pPr>
      <w:r>
        <w:t xml:space="preserve">1. rozwijanie przekonania o użyteczności edukacji geograficznej w życiu codziennym,                             2. poznawanie siebie, swoich predyspozycji, talentów oraz kształtowanie różnych aspektów własnej osobowości,                                                                                                                                                  3. rozwijanie pasji poznawczej skutkującej wzrostem zainteresowania i motywacji wewnętrznej do uczenia się geografii,                                                                                                                                          4. rozwijanie dociekliwości poznawczej ukierunkowanej na poszukiwanie prawdy, dobra i piękna </w:t>
      </w:r>
      <w:r>
        <w:br/>
        <w:t>w świecie,                                                                                                                                                                5. łączenie racjonalności naukowej z refleksją nad pięknem i harmonią świata przyrody oraz dziedzictwem kulturowym ludzkości,</w:t>
      </w:r>
    </w:p>
    <w:p w:rsidR="009069FA" w:rsidRDefault="004B52D5">
      <w:pPr>
        <w:pStyle w:val="Default"/>
        <w:spacing w:after="188"/>
      </w:pPr>
      <w:r>
        <w:lastRenderedPageBreak/>
        <w:t xml:space="preserve">6. przyjmowanie postawy szacunku do środowiska przyrodniczego oraz rozumienie potrzeby racjonalnego w nim gospodarowania,                                                                                                                 7. kształtowanie poczucia tożsamości, patriotyzmu oraz postaw wspólnotowych i obywatelskich,             8. kształtowanie poczucia dumy z piękna ojczystej przyrody i dorobku naszego narodu poprzez poznanie m.in.: różnych obiektów dziedzictwa przyrodniczego i kulturowego własnego regionu </w:t>
      </w:r>
      <w:r>
        <w:br/>
        <w:t xml:space="preserve">i Polski, krajobrazów Polski, walorów przyrodniczych, kulturowych, turystycznych oraz osiągnięć Polaków w różnych dziedzinach życia, w tym sukcesów polskich firm na arenie międzynarodowej,  9. rozwijanie przekonania o potrzebie uczestnictwa w rozwoju własnego regionu i Polski, a także podejmowania działań na rzecz zachowania ich dziedzictwa przyrodniczego oraz kulturowego,           10. kształtowanie pozytywnych, emocjonalnych i duchowych więzi z krajem ojczystym, </w:t>
      </w:r>
      <w:r>
        <w:br/>
        <w:t xml:space="preserve">z najbliższym otoczeniem społecznym i przyrodniczym („małą ojczyzną”, własnym regionem), </w:t>
      </w:r>
      <w:r>
        <w:br/>
        <w:t xml:space="preserve">a także w pewnym stopniu z całą planetą Ziemią,                                                                                                  11. rozwijanie zdolności percepcji najbliższego otoczenia i miejsca                                                              12. poszukiwanie, odkrywanie i dążenie do osiągnięcia wielkich celów życiowych i wartości niezbędnych dla odnalezienia własnego miejsca w świecie na drodze rzetelnej i systematycznej pracy,                                                                                                                                                                 13. kształtowanie świadomości o potrzebie współpracy dotyczącej zwalczania zagrożeń środowiska przyrodniczego oraz zagrożeń społecznych,                                                                                                          14. przygotowanie się do życia w rodzinie, społeczności lokalnej oraz państwie,                                               15. kształtowanie postaw patriotycznych,                                                                                                                    16. poczucie odpowiedzialności za stan środowiska geograficznego i przyszły rozwój społeczno-kulturowy i gospodarczy „małej ojczyzny”, własnego regionu i Polski,                                                            17. rozwijanie poczucia estetyki oraz potrzeby kształtowania ładu przestrzennego,                                                18. przełamywanie stereotypów i kształtowanie postawy szacunku, zrozumienia, akceptacji </w:t>
      </w:r>
      <w:r>
        <w:br/>
        <w:t>i poszanowania innych kultur przy jednoczesnym zachowaniu poczucia wartości dziedzictwa kulturowego własnego narodu i własnej tożsamości.</w:t>
      </w:r>
    </w:p>
    <w:p w:rsidR="009069FA" w:rsidRDefault="009069FA">
      <w:pPr>
        <w:pStyle w:val="Default"/>
      </w:pPr>
    </w:p>
    <w:p w:rsidR="009069FA" w:rsidRDefault="004B52D5">
      <w:pPr>
        <w:pStyle w:val="Textbody"/>
        <w:rPr>
          <w:rFonts w:hint="eastAsia"/>
        </w:rPr>
      </w:pPr>
      <w:r>
        <w:rPr>
          <w:u w:val="single"/>
        </w:rPr>
        <w:t>Elementy składowe oceny półrocznej /końcowo</w:t>
      </w:r>
      <w:r>
        <w:rPr>
          <w:iCs/>
          <w:u w:val="single"/>
        </w:rPr>
        <w:t>rocznej</w:t>
      </w:r>
    </w:p>
    <w:p w:rsidR="009069FA" w:rsidRDefault="004B52D5">
      <w:pPr>
        <w:pStyle w:val="Standard"/>
        <w:numPr>
          <w:ilvl w:val="0"/>
          <w:numId w:val="8"/>
        </w:numPr>
        <w:spacing w:line="360" w:lineRule="auto"/>
        <w:rPr>
          <w:rFonts w:hint="eastAsia"/>
        </w:rPr>
      </w:pPr>
      <w:r>
        <w:t>sprawdziany pisemne – waga 3</w:t>
      </w:r>
    </w:p>
    <w:p w:rsidR="009069FA" w:rsidRDefault="004B52D5">
      <w:pPr>
        <w:pStyle w:val="Standard"/>
        <w:numPr>
          <w:ilvl w:val="0"/>
          <w:numId w:val="1"/>
        </w:numPr>
        <w:spacing w:line="360" w:lineRule="auto"/>
        <w:rPr>
          <w:rFonts w:hint="eastAsia"/>
        </w:rPr>
      </w:pPr>
      <w:r>
        <w:t>kartkówki – waga 2</w:t>
      </w:r>
    </w:p>
    <w:p w:rsidR="009069FA" w:rsidRDefault="004B52D5">
      <w:pPr>
        <w:pStyle w:val="Standard"/>
        <w:numPr>
          <w:ilvl w:val="0"/>
          <w:numId w:val="1"/>
        </w:numPr>
        <w:spacing w:line="360" w:lineRule="auto"/>
        <w:rPr>
          <w:rFonts w:hint="eastAsia"/>
        </w:rPr>
      </w:pPr>
      <w:r>
        <w:t>znajomość mapy – waga 2</w:t>
      </w:r>
    </w:p>
    <w:p w:rsidR="009069FA" w:rsidRDefault="004B52D5">
      <w:pPr>
        <w:pStyle w:val="Standard"/>
        <w:numPr>
          <w:ilvl w:val="0"/>
          <w:numId w:val="1"/>
        </w:numPr>
        <w:spacing w:line="360" w:lineRule="auto"/>
        <w:rPr>
          <w:rFonts w:hint="eastAsia"/>
        </w:rPr>
      </w:pPr>
      <w:r>
        <w:t xml:space="preserve"> prace domowe – waga 1</w:t>
      </w:r>
    </w:p>
    <w:p w:rsidR="009069FA" w:rsidRDefault="004B52D5">
      <w:pPr>
        <w:pStyle w:val="Standard"/>
        <w:numPr>
          <w:ilvl w:val="0"/>
          <w:numId w:val="1"/>
        </w:numPr>
        <w:spacing w:line="360" w:lineRule="auto"/>
        <w:rPr>
          <w:rFonts w:hint="eastAsia"/>
        </w:rPr>
      </w:pPr>
      <w:r>
        <w:t>odpowiedzi ustne – waga 1</w:t>
      </w:r>
    </w:p>
    <w:p w:rsidR="009069FA" w:rsidRDefault="004B52D5">
      <w:pPr>
        <w:pStyle w:val="Standard"/>
        <w:numPr>
          <w:ilvl w:val="0"/>
          <w:numId w:val="1"/>
        </w:numPr>
        <w:spacing w:line="360" w:lineRule="auto"/>
        <w:rPr>
          <w:rFonts w:hint="eastAsia"/>
        </w:rPr>
      </w:pPr>
      <w:r>
        <w:t>aktywność, praca w zespole – waga 1</w:t>
      </w:r>
    </w:p>
    <w:p w:rsidR="009069FA" w:rsidRDefault="004B52D5">
      <w:pPr>
        <w:pStyle w:val="Standard"/>
        <w:numPr>
          <w:ilvl w:val="0"/>
          <w:numId w:val="1"/>
        </w:numPr>
        <w:spacing w:line="360" w:lineRule="auto"/>
        <w:rPr>
          <w:rFonts w:hint="eastAsia"/>
        </w:rPr>
      </w:pPr>
      <w:r>
        <w:t>zadania dodatkowe – waga 1</w:t>
      </w:r>
    </w:p>
    <w:p w:rsidR="009069FA" w:rsidRDefault="004B52D5">
      <w:pPr>
        <w:pStyle w:val="Standard"/>
        <w:numPr>
          <w:ilvl w:val="0"/>
          <w:numId w:val="1"/>
        </w:numPr>
        <w:spacing w:line="360" w:lineRule="auto"/>
        <w:rPr>
          <w:rFonts w:hint="eastAsia"/>
        </w:rPr>
      </w:pPr>
      <w:r>
        <w:t>sukcesy w konkursach geograficznych – waga 3</w:t>
      </w:r>
    </w:p>
    <w:p w:rsidR="009069FA" w:rsidRDefault="004B52D5">
      <w:pPr>
        <w:pStyle w:val="Default"/>
      </w:pPr>
      <w:r>
        <w:t>Podstawą do wystawienia ocen śródrocznych i rocznych jest średnia ważona:</w:t>
      </w:r>
    </w:p>
    <w:p w:rsidR="009069FA" w:rsidRDefault="009069FA">
      <w:pPr>
        <w:pStyle w:val="Default"/>
        <w:jc w:val="center"/>
      </w:pPr>
    </w:p>
    <w:tbl>
      <w:tblPr>
        <w:tblW w:w="2683" w:type="dxa"/>
        <w:jc w:val="center"/>
        <w:tblLayout w:type="fixed"/>
        <w:tblCellMar>
          <w:left w:w="10" w:type="dxa"/>
          <w:right w:w="10" w:type="dxa"/>
        </w:tblCellMar>
        <w:tblLook w:val="04A0" w:firstRow="1" w:lastRow="0" w:firstColumn="1" w:lastColumn="0" w:noHBand="0" w:noVBand="1"/>
      </w:tblPr>
      <w:tblGrid>
        <w:gridCol w:w="1168"/>
        <w:gridCol w:w="1515"/>
      </w:tblGrid>
      <w:tr w:rsidR="009069FA">
        <w:trPr>
          <w:jc w:val="center"/>
        </w:trPr>
        <w:tc>
          <w:tcPr>
            <w:tcW w:w="116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069FA" w:rsidRDefault="004B52D5">
            <w:pPr>
              <w:pStyle w:val="TableContents"/>
              <w:rPr>
                <w:rFonts w:hint="eastAsia"/>
              </w:rPr>
            </w:pPr>
            <w:r>
              <w:t>Średnia</w:t>
            </w:r>
          </w:p>
        </w:tc>
        <w:tc>
          <w:tcPr>
            <w:tcW w:w="1515" w:type="dxa"/>
            <w:tcBorders>
              <w:top w:val="single" w:sz="8" w:space="0" w:color="000000"/>
              <w:bottom w:val="single" w:sz="8" w:space="0" w:color="000000"/>
              <w:right w:val="single" w:sz="8" w:space="0" w:color="000000"/>
            </w:tcBorders>
            <w:tcMar>
              <w:top w:w="28" w:type="dxa"/>
              <w:left w:w="0" w:type="dxa"/>
              <w:bottom w:w="28" w:type="dxa"/>
              <w:right w:w="28" w:type="dxa"/>
            </w:tcMar>
          </w:tcPr>
          <w:p w:rsidR="009069FA" w:rsidRDefault="004B52D5">
            <w:pPr>
              <w:pStyle w:val="TableContents"/>
              <w:rPr>
                <w:rFonts w:hint="eastAsia"/>
              </w:rPr>
            </w:pPr>
            <w:r>
              <w:t>stopień</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0 – 1,50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niedostateczny</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1,51 – 2,50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dopuszczający</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2,51 – 3,50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dostateczny</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3,51 – 4,50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dobry</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4,51 – 5,50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dardzo dobry</w:t>
            </w:r>
          </w:p>
        </w:tc>
      </w:tr>
      <w:tr w:rsidR="009069FA">
        <w:trPr>
          <w:jc w:val="center"/>
        </w:trPr>
        <w:tc>
          <w:tcPr>
            <w:tcW w:w="1168" w:type="dxa"/>
            <w:tcBorders>
              <w:left w:val="single" w:sz="8" w:space="0" w:color="000000"/>
              <w:bottom w:val="single" w:sz="8" w:space="0" w:color="000000"/>
              <w:right w:val="single" w:sz="8" w:space="0" w:color="000000"/>
            </w:tcBorders>
            <w:tcMar>
              <w:top w:w="0" w:type="dxa"/>
              <w:left w:w="28" w:type="dxa"/>
              <w:bottom w:w="28" w:type="dxa"/>
              <w:right w:w="28" w:type="dxa"/>
            </w:tcMar>
          </w:tcPr>
          <w:p w:rsidR="009069FA" w:rsidRDefault="004B52D5">
            <w:pPr>
              <w:pStyle w:val="TableContents"/>
              <w:rPr>
                <w:rFonts w:hint="eastAsia"/>
              </w:rPr>
            </w:pPr>
            <w:r>
              <w:t>5,51 – 6,00</w:t>
            </w:r>
          </w:p>
        </w:tc>
        <w:tc>
          <w:tcPr>
            <w:tcW w:w="1515" w:type="dxa"/>
            <w:tcBorders>
              <w:bottom w:val="single" w:sz="8" w:space="0" w:color="000000"/>
              <w:right w:val="single" w:sz="8" w:space="0" w:color="000000"/>
            </w:tcBorders>
            <w:tcMar>
              <w:top w:w="0" w:type="dxa"/>
              <w:left w:w="0" w:type="dxa"/>
              <w:bottom w:w="28" w:type="dxa"/>
              <w:right w:w="28" w:type="dxa"/>
            </w:tcMar>
          </w:tcPr>
          <w:p w:rsidR="009069FA" w:rsidRDefault="004B52D5">
            <w:pPr>
              <w:pStyle w:val="TableContents"/>
              <w:rPr>
                <w:rFonts w:hint="eastAsia"/>
              </w:rPr>
            </w:pPr>
            <w:r>
              <w:t>celujący</w:t>
            </w:r>
          </w:p>
        </w:tc>
      </w:tr>
    </w:tbl>
    <w:p w:rsidR="009069FA" w:rsidRDefault="009069FA">
      <w:pPr>
        <w:pStyle w:val="Standard"/>
        <w:rPr>
          <w:rFonts w:hint="eastAsia"/>
        </w:rPr>
      </w:pPr>
    </w:p>
    <w:p w:rsidR="009069FA" w:rsidRDefault="004B52D5">
      <w:pPr>
        <w:pStyle w:val="Default"/>
      </w:pPr>
      <w:r>
        <w:lastRenderedPageBreak/>
        <w:t>Ocenę śródroczną/roczną ustala się z minimum 3 ocen bieżących obejmujących różne formy aktywności. Przy wystawianiu oceny śródrocznej /rocznej brane są pod uwagę wszystkie oceny cząstkowe ucznia według następującej ważności:</w:t>
      </w:r>
    </w:p>
    <w:p w:rsidR="009069FA" w:rsidRDefault="004B52D5">
      <w:pPr>
        <w:pStyle w:val="Default"/>
      </w:pPr>
      <w:r>
        <w:t xml:space="preserve">- </w:t>
      </w:r>
      <w:r>
        <w:rPr>
          <w:u w:val="single"/>
        </w:rPr>
        <w:t xml:space="preserve">sprawdziany pisemne (waga 3) </w:t>
      </w:r>
      <w:r>
        <w:t xml:space="preserve"> sprawdzające wiadomości i umiejętności, przeprowadzane po zakończeniu każdego działu. Będą zapowiedziane przynajmniej 1 tydzień wcześniej. W przypadku nieobecności ucznia w tym dniu w szkole, obowiązek napisania sprawdzianu zostaje przesunięty na następną, najbliższą lekcję. W przypadku dłuższej nieobecności, spowodowanej np. chorobą, uczeń może uzgodnić z nauczycielem inną formę i termin zaliczenia materiału objętego sprawdzianem.</w:t>
      </w:r>
    </w:p>
    <w:p w:rsidR="009069FA" w:rsidRDefault="004B52D5">
      <w:pPr>
        <w:pStyle w:val="Default"/>
      </w:pPr>
      <w:r>
        <w:t xml:space="preserve">- </w:t>
      </w:r>
      <w:r>
        <w:rPr>
          <w:u w:val="single"/>
        </w:rPr>
        <w:t xml:space="preserve">kartkówki, znajomość mapy (waga 2) </w:t>
      </w:r>
      <w:r>
        <w:t>obejmujące wiadomości i umiejętności z trzech ostatnich lekcji (nie muszą być zapowiadane).</w:t>
      </w:r>
    </w:p>
    <w:p w:rsidR="009069FA" w:rsidRDefault="004B52D5">
      <w:pPr>
        <w:pStyle w:val="Default"/>
      </w:pPr>
      <w:r>
        <w:rPr>
          <w:u w:val="single"/>
        </w:rPr>
        <w:t xml:space="preserve">-odpowiedzi ustne </w:t>
      </w:r>
      <w:r>
        <w:t xml:space="preserve"> </w:t>
      </w:r>
      <w:r>
        <w:rPr>
          <w:u w:val="single"/>
        </w:rPr>
        <w:t xml:space="preserve">(waga 1) </w:t>
      </w:r>
      <w:r>
        <w:t>co najmniej raz w ciągu okresu.</w:t>
      </w:r>
    </w:p>
    <w:p w:rsidR="009069FA" w:rsidRDefault="004B52D5">
      <w:pPr>
        <w:pStyle w:val="Default"/>
      </w:pPr>
      <w:r>
        <w:rPr>
          <w:u w:val="single"/>
        </w:rPr>
        <w:t xml:space="preserve">- aktywność podczas lekcji (waga 1) </w:t>
      </w:r>
      <w:r>
        <w:t>(trzy plusy to ocena bardzo dobra)</w:t>
      </w:r>
    </w:p>
    <w:p w:rsidR="009069FA" w:rsidRDefault="004B52D5">
      <w:pPr>
        <w:pStyle w:val="Default"/>
      </w:pPr>
      <w:r>
        <w:rPr>
          <w:u w:val="single"/>
        </w:rPr>
        <w:t>- zadania domowe,</w:t>
      </w:r>
      <w:r>
        <w:t xml:space="preserve"> </w:t>
      </w:r>
      <w:r>
        <w:rPr>
          <w:u w:val="single"/>
        </w:rPr>
        <w:t>(waga 1)</w:t>
      </w:r>
      <w:r>
        <w:t>- sposób rozwiązania, systematyczność, estetyka.</w:t>
      </w:r>
    </w:p>
    <w:p w:rsidR="009069FA" w:rsidRDefault="009069FA">
      <w:pPr>
        <w:pStyle w:val="Default"/>
        <w:rPr>
          <w:u w:val="single"/>
        </w:rPr>
      </w:pPr>
    </w:p>
    <w:p w:rsidR="009069FA" w:rsidRDefault="004B52D5">
      <w:pPr>
        <w:pStyle w:val="Default"/>
      </w:pPr>
      <w:r>
        <w:t>Ocena roczna z geografii wystawiana jest na podstawie ocen cząstkowych za drugi okres oraz po uwzględnieniu oceny za pierwszy okres.</w:t>
      </w:r>
    </w:p>
    <w:p w:rsidR="009069FA" w:rsidRDefault="004B52D5">
      <w:pPr>
        <w:pStyle w:val="Default"/>
      </w:pPr>
      <w:r>
        <w:t>Uczeń, który za  pierwszy okres otrzymał z geografii ocenę niedostateczną, zobowiązany jest zaliczyć zaległy materiał. Zakres materiału oraz termin zaliczenia zaległości ustalany jest z przez nauczyciela w porozumieniu z uczniem i przedstawiony do wiadomości rodzicom /opiekunom prawnym ucznia.</w:t>
      </w:r>
    </w:p>
    <w:p w:rsidR="009069FA" w:rsidRDefault="009069FA">
      <w:pPr>
        <w:pStyle w:val="Standard"/>
        <w:spacing w:line="360" w:lineRule="auto"/>
        <w:rPr>
          <w:rFonts w:hint="eastAsia"/>
          <w:color w:val="000000"/>
        </w:rPr>
      </w:pPr>
    </w:p>
    <w:p w:rsidR="009069FA" w:rsidRDefault="004B52D5">
      <w:pPr>
        <w:pStyle w:val="Standard"/>
        <w:spacing w:line="360" w:lineRule="auto"/>
        <w:rPr>
          <w:rFonts w:hint="eastAsia"/>
          <w:u w:val="single"/>
        </w:rPr>
      </w:pPr>
      <w:r>
        <w:rPr>
          <w:u w:val="single"/>
        </w:rPr>
        <w:t>Obszary aktywności podlegające ocenianiu:</w:t>
      </w:r>
    </w:p>
    <w:p w:rsidR="00080A01" w:rsidRDefault="004B52D5" w:rsidP="00080A01">
      <w:pPr>
        <w:pStyle w:val="Standard"/>
        <w:numPr>
          <w:ilvl w:val="0"/>
          <w:numId w:val="9"/>
        </w:numPr>
      </w:pPr>
      <w:r>
        <w:t>Czytanie map różnej treści,</w:t>
      </w:r>
    </w:p>
    <w:p w:rsidR="00080A01" w:rsidRDefault="004B52D5" w:rsidP="00080A01">
      <w:pPr>
        <w:pStyle w:val="Standard"/>
        <w:numPr>
          <w:ilvl w:val="0"/>
          <w:numId w:val="9"/>
        </w:numPr>
      </w:pPr>
      <w:r>
        <w:t>Wyjaśnianie prawidłowości występujących w cyklach astronomicznych, geograficznych, społecznych i gospodarczych,</w:t>
      </w:r>
    </w:p>
    <w:p w:rsidR="00080A01" w:rsidRDefault="004B52D5" w:rsidP="00080A01">
      <w:pPr>
        <w:pStyle w:val="Standard"/>
        <w:numPr>
          <w:ilvl w:val="0"/>
          <w:numId w:val="9"/>
        </w:numPr>
      </w:pPr>
      <w:r>
        <w:t>Umiejętność posługiwania się przyrządami oraz modelami geograficznymi,</w:t>
      </w:r>
    </w:p>
    <w:p w:rsidR="00080A01" w:rsidRDefault="004B52D5" w:rsidP="00080A01">
      <w:pPr>
        <w:pStyle w:val="Standard"/>
        <w:numPr>
          <w:ilvl w:val="0"/>
          <w:numId w:val="9"/>
        </w:numPr>
      </w:pPr>
      <w:r>
        <w:t>Umiejętność dokonywania planowych oraz systematycznych obserwacji,</w:t>
      </w:r>
    </w:p>
    <w:p w:rsidR="00080A01" w:rsidRDefault="004B52D5" w:rsidP="00080A01">
      <w:pPr>
        <w:pStyle w:val="Standard"/>
        <w:numPr>
          <w:ilvl w:val="0"/>
          <w:numId w:val="9"/>
        </w:numPr>
      </w:pPr>
      <w:r>
        <w:t>Umiejętność odczytywania i wykorzystywania oraz sporządzania dokumentacji geograficznej (dane statystyczne, wykresy, diagramy),</w:t>
      </w:r>
    </w:p>
    <w:p w:rsidR="00080A01" w:rsidRDefault="004B52D5" w:rsidP="00080A01">
      <w:pPr>
        <w:pStyle w:val="Standard"/>
        <w:numPr>
          <w:ilvl w:val="0"/>
          <w:numId w:val="9"/>
        </w:numPr>
      </w:pPr>
      <w:r>
        <w:t>Umiejętność dokonywania obliczeń (odległości, różnica wysokości, średnie temperatur, amplitudy, spadek temperatury z wysokością, wysokość słońca w różnych szerokościach geograficznych, różnice czasowe),</w:t>
      </w:r>
    </w:p>
    <w:p w:rsidR="00080A01" w:rsidRDefault="004B52D5" w:rsidP="00080A01">
      <w:pPr>
        <w:pStyle w:val="Standard"/>
        <w:numPr>
          <w:ilvl w:val="0"/>
          <w:numId w:val="9"/>
        </w:numPr>
      </w:pPr>
      <w:r>
        <w:t>Umiejętność posługiwania się słownictwem, terminologią i symboliką geograficzną w mowie żywej i pisanej,</w:t>
      </w:r>
    </w:p>
    <w:p w:rsidR="009069FA" w:rsidRDefault="004B52D5" w:rsidP="00080A01">
      <w:pPr>
        <w:pStyle w:val="Standard"/>
        <w:numPr>
          <w:ilvl w:val="0"/>
          <w:numId w:val="9"/>
        </w:numPr>
        <w:rPr>
          <w:rFonts w:hint="eastAsia"/>
        </w:rPr>
      </w:pPr>
      <w:bookmarkStart w:id="0" w:name="_GoBack"/>
      <w:bookmarkEnd w:id="0"/>
      <w:r>
        <w:t>Wartościowanie działalności człowieka w środowisku przyrodniczym. </w:t>
      </w:r>
    </w:p>
    <w:p w:rsidR="009069FA" w:rsidRDefault="004B52D5">
      <w:pPr>
        <w:pStyle w:val="Standard"/>
        <w:spacing w:before="280" w:after="280"/>
        <w:rPr>
          <w:rFonts w:hint="eastAsia"/>
        </w:rPr>
      </w:pPr>
      <w:r>
        <w:t>Wykaz umiejętności i wiadomości dla danego poziomu przedstawiony jest uczniom na początku roku szkolnego poprzez omówienie programu nauczania w danej klasie z jednoczesnym wskazaniem na kierunek pracy, częstotliwość i sposób uzyskania oceny.                                                         W ocenianiu sprawdzianów pisemnych obowiązuje następująca skala:</w:t>
      </w:r>
    </w:p>
    <w:p w:rsidR="009069FA" w:rsidRDefault="004B52D5">
      <w:pPr>
        <w:pStyle w:val="Standard"/>
        <w:spacing w:before="280"/>
        <w:rPr>
          <w:rFonts w:hint="eastAsia"/>
        </w:rPr>
      </w:pPr>
      <w:r>
        <w:t>100% - 98% - celujący</w:t>
      </w:r>
    </w:p>
    <w:p w:rsidR="009069FA" w:rsidRDefault="004B52D5">
      <w:pPr>
        <w:pStyle w:val="Default"/>
      </w:pPr>
      <w:r>
        <w:t>97% – 90% – bardzo dobry</w:t>
      </w:r>
    </w:p>
    <w:p w:rsidR="009069FA" w:rsidRDefault="004B52D5">
      <w:pPr>
        <w:pStyle w:val="Default"/>
      </w:pPr>
      <w:r>
        <w:t>89% – 75% – dobry</w:t>
      </w:r>
    </w:p>
    <w:p w:rsidR="009069FA" w:rsidRDefault="004B52D5">
      <w:pPr>
        <w:pStyle w:val="Default"/>
      </w:pPr>
      <w:r>
        <w:t>74% – 51% – dostateczny</w:t>
      </w:r>
    </w:p>
    <w:p w:rsidR="009069FA" w:rsidRDefault="004B52D5">
      <w:pPr>
        <w:pStyle w:val="Default"/>
      </w:pPr>
      <w:r>
        <w:t>50% – 31% – dopuszczający</w:t>
      </w:r>
    </w:p>
    <w:p w:rsidR="009069FA" w:rsidRDefault="004B52D5">
      <w:pPr>
        <w:pStyle w:val="Default"/>
      </w:pPr>
      <w:r>
        <w:t>30% – 0% – niedostateczny</w:t>
      </w:r>
    </w:p>
    <w:p w:rsidR="009069FA" w:rsidRDefault="009069FA">
      <w:pPr>
        <w:pStyle w:val="Default"/>
      </w:pPr>
    </w:p>
    <w:p w:rsidR="00080A01" w:rsidRDefault="004B52D5" w:rsidP="00080A01">
      <w:pPr>
        <w:pStyle w:val="Default"/>
        <w:numPr>
          <w:ilvl w:val="0"/>
          <w:numId w:val="16"/>
        </w:numPr>
        <w:ind w:left="142"/>
      </w:pPr>
      <w:r>
        <w:t xml:space="preserve">Nauczyciel oddaje sprawdzone prace pisemne w terminie dwóch tygodni. Uczeń ma prawo poprawić ocenę niedostateczną ze sprawdzianu w ciągu dwóch tygodni po oddaniu sprawdzianu. </w:t>
      </w:r>
      <w:r>
        <w:lastRenderedPageBreak/>
        <w:t>Dla wszystkich chętnych ustala się jeden termin poprawy. Do dziennika, obok oceny uzyskanej poprzednio, wpisuje się ocenę „poprawioną”.</w:t>
      </w:r>
    </w:p>
    <w:p w:rsidR="00080A01" w:rsidRDefault="004B52D5" w:rsidP="00080A01">
      <w:pPr>
        <w:pStyle w:val="Default"/>
        <w:numPr>
          <w:ilvl w:val="0"/>
          <w:numId w:val="16"/>
        </w:numPr>
        <w:ind w:left="142"/>
      </w:pPr>
      <w:r>
        <w:t>Nauczyciel ma prawo odpytać, bez zapowiedzi, z przewidzianego sprawdzianem zakresu wiedzy i umiejętności ucznia, który nie napisał w terminie pracy klasowej.</w:t>
      </w:r>
    </w:p>
    <w:p w:rsidR="00080A01" w:rsidRDefault="004B52D5" w:rsidP="00080A01">
      <w:pPr>
        <w:pStyle w:val="Default"/>
        <w:numPr>
          <w:ilvl w:val="0"/>
          <w:numId w:val="16"/>
        </w:numPr>
        <w:ind w:left="142"/>
      </w:pPr>
      <w:r>
        <w:t xml:space="preserve">Dla "kartkówek" nie przewiduje się poprawiania stopnia.   </w:t>
      </w:r>
    </w:p>
    <w:p w:rsidR="00080A01" w:rsidRDefault="004B52D5" w:rsidP="00080A01">
      <w:pPr>
        <w:pStyle w:val="Default"/>
        <w:numPr>
          <w:ilvl w:val="0"/>
          <w:numId w:val="16"/>
        </w:numPr>
        <w:ind w:left="142"/>
      </w:pPr>
      <w:r>
        <w:t>Wystawienia oceny semestralnej i na koniec roku szkolnego dokonuje się na podstawie ocen cząstkowych, przy czym największą wagę mają oceny ze sprawdzianów, w drugiej kolejności są odpowiedzi ustne, kartkówki. Pozostałe oceny są wspomagające.</w:t>
      </w:r>
    </w:p>
    <w:p w:rsidR="00080A01" w:rsidRDefault="004B52D5" w:rsidP="00080A01">
      <w:pPr>
        <w:pStyle w:val="Default"/>
        <w:numPr>
          <w:ilvl w:val="0"/>
          <w:numId w:val="16"/>
        </w:numPr>
        <w:ind w:left="142"/>
      </w:pPr>
      <w:r>
        <w:t>W klasie siódmej uczeń ma prawo zgłosić w ciągu jednego okresu dwa razy nieprzygotowanie do lekcji.</w:t>
      </w:r>
    </w:p>
    <w:p w:rsidR="00080A01" w:rsidRDefault="004B52D5" w:rsidP="00080A01">
      <w:pPr>
        <w:pStyle w:val="Default"/>
        <w:numPr>
          <w:ilvl w:val="0"/>
          <w:numId w:val="16"/>
        </w:numPr>
        <w:ind w:left="142"/>
      </w:pPr>
      <w:r>
        <w:t>Na pierwszej lekcji w roku szkolnym uczniowie zapoznawani są z PSO. Wymagania na poszczególne oceny są udostępniane uczniom. Oceny są jawne, oparte o poznane kryteria.</w:t>
      </w:r>
    </w:p>
    <w:p w:rsidR="00080A01" w:rsidRDefault="004B52D5" w:rsidP="00080A01">
      <w:pPr>
        <w:pStyle w:val="Default"/>
        <w:numPr>
          <w:ilvl w:val="0"/>
          <w:numId w:val="16"/>
        </w:numPr>
        <w:ind w:left="142"/>
      </w:pPr>
      <w:r>
        <w:t>Sprawdziany i inne prace pisemne są przechowywane w szkole do końca roku szkolnego.</w:t>
      </w:r>
    </w:p>
    <w:p w:rsidR="009069FA" w:rsidRDefault="004B52D5" w:rsidP="00080A01">
      <w:pPr>
        <w:pStyle w:val="Default"/>
        <w:numPr>
          <w:ilvl w:val="0"/>
          <w:numId w:val="16"/>
        </w:numPr>
        <w:ind w:left="142"/>
      </w:pPr>
      <w:r>
        <w:t>Rodzice informowani są o sposobie oceniania z przedmiotu oraz o ocenach cząstkowych i semestralnych na zebraniach rodzicielskich lub w czasie indywidualnych spotkań rodziców z nauczycielem. Na życzenie rodziców, podczas takich spotkań, są udostępniane do wglądu pisemne sprawdziany.</w:t>
      </w:r>
    </w:p>
    <w:p w:rsidR="009069FA" w:rsidRDefault="004B52D5">
      <w:pPr>
        <w:pStyle w:val="Standard"/>
        <w:spacing w:before="280"/>
        <w:ind w:left="360"/>
        <w:rPr>
          <w:u w:val="single"/>
        </w:rPr>
      </w:pPr>
      <w:r>
        <w:rPr>
          <w:u w:val="single"/>
        </w:rPr>
        <w:t>Wymagania edukacyjne na poszczególne oceny:</w:t>
      </w:r>
    </w:p>
    <w:p w:rsidR="00080A01" w:rsidRDefault="00080A01">
      <w:pPr>
        <w:pStyle w:val="Standard"/>
        <w:spacing w:before="280"/>
        <w:ind w:left="360"/>
        <w:rPr>
          <w:rFonts w:hint="eastAsia"/>
          <w:u w:val="single"/>
        </w:rPr>
      </w:pPr>
    </w:p>
    <w:p w:rsidR="009069FA" w:rsidRPr="00080A01" w:rsidRDefault="004B52D5">
      <w:pPr>
        <w:pStyle w:val="Standard"/>
        <w:numPr>
          <w:ilvl w:val="0"/>
          <w:numId w:val="12"/>
        </w:numPr>
        <w:spacing w:after="280"/>
        <w:rPr>
          <w:rFonts w:hint="eastAsia"/>
          <w:b/>
        </w:rPr>
      </w:pPr>
      <w:r w:rsidRPr="00080A01">
        <w:rPr>
          <w:b/>
        </w:rPr>
        <w:t>ocena – niedostateczna</w:t>
      </w:r>
    </w:p>
    <w:p w:rsidR="009069FA" w:rsidRDefault="004B52D5">
      <w:pPr>
        <w:pStyle w:val="Standard"/>
        <w:spacing w:after="280"/>
        <w:rPr>
          <w:rFonts w:hint="eastAsia"/>
        </w:rPr>
      </w:pPr>
      <w:r>
        <w:t xml:space="preserve">Uczeń nie opanował niezbędnych wiadomości i umiejętności zawartych w wymaganiach podstawy programowej dla szkoły podstawowej - potrzebnych do kontynuowania nauki. </w:t>
      </w:r>
      <w:r>
        <w:br/>
        <w:t>W szczególności: wykazuje brak systematyczności i chęci do nauki, nie posiada podstawowej orientacji na mapie, nie wykonuje zadań domowych, nie potrafi samodzielnie korzystać z różnych źródeł, w tym treści podręcznika, nie pracuje na lekcji, nie potrafi rozwiązać zadań teoretycznych i praktycznych o elementarnym stopniu trudności samodzielnie, w grupie lub nawet przy pomocy nauczyciela, nie udziela prawidłowych odpowiedzi na większość zadanych mu pytań.</w:t>
      </w:r>
    </w:p>
    <w:p w:rsidR="009069FA" w:rsidRPr="00080A01" w:rsidRDefault="004B52D5">
      <w:pPr>
        <w:pStyle w:val="Standard"/>
        <w:numPr>
          <w:ilvl w:val="0"/>
          <w:numId w:val="13"/>
        </w:numPr>
        <w:spacing w:after="280"/>
        <w:rPr>
          <w:rFonts w:hint="eastAsia"/>
          <w:b/>
        </w:rPr>
      </w:pPr>
      <w:r w:rsidRPr="00080A01">
        <w:rPr>
          <w:b/>
        </w:rPr>
        <w:t>ocena - dopuszczająca (wymagania konieczne)</w:t>
      </w:r>
    </w:p>
    <w:p w:rsidR="009069FA" w:rsidRDefault="004B52D5">
      <w:pPr>
        <w:pStyle w:val="Standard"/>
        <w:spacing w:after="280"/>
        <w:rPr>
          <w:rFonts w:hint="eastAsia"/>
        </w:rPr>
      </w:pPr>
      <w:r>
        <w:t>Uczeń ma braki w wymaganiach koniecznych z zakresu wiadomości i umiejętności. Nie opanował w stopniu elementarnym umiejętność czytania map, posiada elementarną orientację na mapie świata, Europy i Polski, posługuje się w stopniu elementarnym słownictwem i terminologią geograficzną w mowie żywej i pisanej, samodzielnie rozwiązuje i wykonuje zadania o niewielkim stopniu trudności, przejawia chęć i gotowość pracy i współpracy, umie wykorzystać różne źródła informacji, przy czym objawia się to jako praca odtwórcza, wskazująca na słabe zrozumienie polecenia, nadrabia zaległości, przy pomocy nauczyciela udziela odpowiedzi na proste pytania.</w:t>
      </w:r>
    </w:p>
    <w:p w:rsidR="009069FA" w:rsidRPr="00080A01" w:rsidRDefault="004B52D5" w:rsidP="00080A01">
      <w:pPr>
        <w:pStyle w:val="Standard"/>
        <w:spacing w:after="280"/>
        <w:ind w:left="644"/>
        <w:rPr>
          <w:rFonts w:hint="eastAsia"/>
          <w:b/>
        </w:rPr>
      </w:pPr>
      <w:r w:rsidRPr="00080A01">
        <w:rPr>
          <w:b/>
        </w:rPr>
        <w:t>ocena - dostateczna (wymagania podstawowe)</w:t>
      </w:r>
    </w:p>
    <w:p w:rsidR="009069FA" w:rsidRDefault="004B52D5">
      <w:pPr>
        <w:pStyle w:val="Standard"/>
        <w:spacing w:after="280"/>
        <w:rPr>
          <w:rFonts w:hint="eastAsia"/>
        </w:rPr>
      </w:pPr>
      <w:r>
        <w:t xml:space="preserve">Uczeń opanował podstawowe wiadomości i wybrane umiejętności określone podstawą programową. W szczególności: posiada podstawową orientację na mapie i w przestrzeni geograficznej, poprawnie wyraża swoje myśli w prostych i typowych przykładach w mowie żywej i pisanej, przy wypowiedzi widać nieliczne błędy, odpowiedź ustna odbywa się przy pomocy nauczyciela zadającego kolejne pytania, samodzielnie i w grupie rozwiązuje poprawnie nieskomplikowane polecenia, potrafi naśladować podobne rozwiązania </w:t>
      </w:r>
      <w:r>
        <w:br/>
        <w:t xml:space="preserve">w analogicznych sytuacjach, wartościuje elementy działalności człowieka środowisku, poprawnie odczytuje dane z tekstu, rysunków, diagramów, tabel, przetwarza proste dane na wykresy, wykonuje </w:t>
      </w:r>
      <w:r>
        <w:lastRenderedPageBreak/>
        <w:t>wybrane, proste obliczenia stosowane w geografii, z pomocą nauczyciela poprawnie stosuje wiadomości i umiejętności do rozwiązywania sytuacji problemowych.</w:t>
      </w:r>
    </w:p>
    <w:p w:rsidR="009069FA" w:rsidRPr="00080A01" w:rsidRDefault="004B52D5" w:rsidP="00080A01">
      <w:pPr>
        <w:pStyle w:val="Standard"/>
        <w:spacing w:after="280"/>
        <w:ind w:left="644"/>
        <w:rPr>
          <w:rFonts w:hint="eastAsia"/>
          <w:b/>
        </w:rPr>
      </w:pPr>
      <w:r w:rsidRPr="00080A01">
        <w:rPr>
          <w:b/>
        </w:rPr>
        <w:t>ocena - dobra (wymagania rozszerzające)</w:t>
      </w:r>
    </w:p>
    <w:p w:rsidR="009069FA" w:rsidRDefault="004B52D5">
      <w:pPr>
        <w:pStyle w:val="Standard"/>
        <w:spacing w:after="280"/>
        <w:rPr>
          <w:rFonts w:hint="eastAsia"/>
        </w:rPr>
      </w:pPr>
      <w:r>
        <w:t>Uczeń opanował wiadomości i umiejętności w stopniu dobrym, uwzględniającym wymagania rozszerzające. W szczególności: pracuje systematycznie, a jego przygotowanie, choć pełne,  jest różne jakościowo, posiada dobrą orientację na mapie świata, czyta ze zrozumieniem mapy tematyczne, dokonuje poprawnych interpretacji różnorodnych tekstów źródłowych, udziela zasadniczo samodzielnie odpowiedzi, choć uwidaczniają się niewielkie braki w wiedzy lub wypowiedź nie wyczerpuje omawianego zagadnienia, wiadomości i umiejętności podstawowe są dla niego zrozumiałe, potrafi samodzielnie rozwiązywać zadania o pewnym stopniu trudności tu: treści przystępne, średnio trudne, wykonuje wszystkie obliczenia stosowane w geografii, dostrzega zależności przyczynowo-skutkowe, łączy zagadnienia w logiczne ciągi, opanował umiejętność dokonywania interpretacji prostych zjawisk przedstawianych graficznie, w mowie żywej i pisanej posługuje się językiem poprawnym pod względem merytorycznym, stylistycznym i gramatycznym, potrafi wartościować działalność człowieka środowisku, aktywnie i efektywnie pracuje i współpracuje w zespołach grupowych, chętnie wykonuje dodatkowe zadania.</w:t>
      </w:r>
    </w:p>
    <w:p w:rsidR="009069FA" w:rsidRPr="00080A01" w:rsidRDefault="00080A01" w:rsidP="00080A01">
      <w:pPr>
        <w:pStyle w:val="Standard"/>
        <w:numPr>
          <w:ilvl w:val="0"/>
          <w:numId w:val="14"/>
        </w:numPr>
        <w:spacing w:after="280"/>
        <w:ind w:left="0"/>
        <w:rPr>
          <w:rFonts w:hint="eastAsia"/>
          <w:b/>
        </w:rPr>
      </w:pPr>
      <w:r w:rsidRPr="00080A01">
        <w:rPr>
          <w:b/>
        </w:rPr>
        <w:t xml:space="preserve">        </w:t>
      </w:r>
      <w:r w:rsidR="004B52D5" w:rsidRPr="00080A01">
        <w:rPr>
          <w:b/>
        </w:rPr>
        <w:t>ocena - bardzo dobra (wymagania dopełniające)</w:t>
      </w:r>
    </w:p>
    <w:p w:rsidR="009069FA" w:rsidRDefault="004B52D5" w:rsidP="00080A01">
      <w:pPr>
        <w:pStyle w:val="Standard"/>
        <w:numPr>
          <w:ilvl w:val="0"/>
          <w:numId w:val="6"/>
        </w:numPr>
        <w:spacing w:after="280"/>
        <w:ind w:left="0"/>
        <w:rPr>
          <w:rFonts w:hint="eastAsia"/>
        </w:rPr>
      </w:pPr>
      <w:r>
        <w:t xml:space="preserve">Uczeń w stopniu wyczerpującym opanował materiał przewidziany w podstawie programowej dla danej klasy oraz praktycznie stosuje umiejętności z zakresu kluczowych kompetencji w edukacji geograficznej. </w:t>
      </w:r>
      <w:r>
        <w:br/>
        <w:t xml:space="preserve">W szczególności: przygotowanie ucznia do lekcji jest pełne, wszechstronne oraz systematyczne, sprawnie posługuje się wiadomościami i zdobytymi umiejętnościami, podczas wypowiedzi ustnej samodzielnie potrafi interpretować omawiane zagadnienie, jego wypowiedź jest ładna, ciekawa i poprawna pod względem merytorycznym, stylistycznym </w:t>
      </w:r>
      <w:r>
        <w:br/>
        <w:t>i gramatycznym, samodzielnie dokonuje interpretacji treści mapy i innych materiałów źródłowych, obok prawidłowego wnioskowania przeprowadza proste analizy zjawisk, potrafi zastosować wiedzę w praktycznym działaniu, chętnie wykonuje zadania i prace dodatkowe, wykorzystuje różne źródła informacji do pogłębiania swojej wiedzy, bierze aktywny udział w przedsięwzięciach o charakterze środowiskowym, wnosi twórczy wkład w realizację zadań oraz omawianych zagadnień, pracuje nad własnym rozwojem lub bierze aktywny udział w konkursach o treściach geograficznych.</w:t>
      </w:r>
    </w:p>
    <w:p w:rsidR="009069FA" w:rsidRPr="00080A01" w:rsidRDefault="00080A01" w:rsidP="00080A01">
      <w:pPr>
        <w:pStyle w:val="Standard"/>
        <w:numPr>
          <w:ilvl w:val="0"/>
          <w:numId w:val="15"/>
        </w:numPr>
        <w:spacing w:after="280"/>
        <w:ind w:left="0"/>
        <w:rPr>
          <w:rFonts w:hint="eastAsia"/>
          <w:b/>
        </w:rPr>
      </w:pPr>
      <w:r>
        <w:t xml:space="preserve">         </w:t>
      </w:r>
      <w:r w:rsidR="004B52D5" w:rsidRPr="00080A01">
        <w:rPr>
          <w:b/>
        </w:rPr>
        <w:t>ocena - celująca</w:t>
      </w:r>
    </w:p>
    <w:p w:rsidR="009069FA" w:rsidRDefault="004B52D5">
      <w:pPr>
        <w:pStyle w:val="Standard"/>
        <w:spacing w:after="280"/>
        <w:rPr>
          <w:rFonts w:hint="eastAsia"/>
        </w:rPr>
      </w:pPr>
      <w:r>
        <w:t>Uczeń spełnia wszystkie kryteria ujęte w wymaganiach na ocenę bardzo dobrą, a ponadto samodzielnie i twórczo rozwija własne uzdolnienia i zainteresowania, a ich efekty potrafi zaprezentować innym w konkretnej formie. Ponadto uczeń powinien wykazać się znaczącymi osiągnięciami w konkursach na poziomie pozaszkolnym.</w:t>
      </w:r>
    </w:p>
    <w:p w:rsidR="009069FA" w:rsidRDefault="004B52D5">
      <w:pPr>
        <w:pStyle w:val="Standard"/>
        <w:spacing w:line="360" w:lineRule="auto"/>
        <w:rPr>
          <w:rFonts w:hint="eastAsia"/>
        </w:rPr>
      </w:pPr>
      <w:r>
        <w:t xml:space="preserve">                                                                      </w:t>
      </w:r>
    </w:p>
    <w:p w:rsidR="009069FA" w:rsidRDefault="009069FA">
      <w:pPr>
        <w:pStyle w:val="Textbody"/>
        <w:jc w:val="right"/>
        <w:rPr>
          <w:rFonts w:hint="eastAsia"/>
        </w:rPr>
      </w:pPr>
    </w:p>
    <w:sectPr w:rsidR="009069F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EF" w:rsidRDefault="008D3EEF">
      <w:pPr>
        <w:rPr>
          <w:rFonts w:hint="eastAsia"/>
        </w:rPr>
      </w:pPr>
      <w:r>
        <w:separator/>
      </w:r>
    </w:p>
  </w:endnote>
  <w:endnote w:type="continuationSeparator" w:id="0">
    <w:p w:rsidR="008D3EEF" w:rsidRDefault="008D3E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EF" w:rsidRDefault="008D3EEF">
      <w:pPr>
        <w:rPr>
          <w:rFonts w:hint="eastAsia"/>
        </w:rPr>
      </w:pPr>
      <w:r>
        <w:rPr>
          <w:color w:val="000000"/>
        </w:rPr>
        <w:separator/>
      </w:r>
    </w:p>
  </w:footnote>
  <w:footnote w:type="continuationSeparator" w:id="0">
    <w:p w:rsidR="008D3EEF" w:rsidRDefault="008D3EE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795"/>
    <w:multiLevelType w:val="multilevel"/>
    <w:tmpl w:val="BD40F7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19290A"/>
    <w:multiLevelType w:val="hybridMultilevel"/>
    <w:tmpl w:val="4C4463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8BD5F75"/>
    <w:multiLevelType w:val="multilevel"/>
    <w:tmpl w:val="AEEAF9F4"/>
    <w:styleLink w:val="WW8Num28"/>
    <w:lvl w:ilvl="0">
      <w:numFmt w:val="bullet"/>
      <w:lvlText w:val="✔"/>
      <w:lvlJc w:val="left"/>
      <w:pPr>
        <w:ind w:left="502"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420876D3"/>
    <w:multiLevelType w:val="multilevel"/>
    <w:tmpl w:val="664AA2B8"/>
    <w:styleLink w:val="WW8Num15"/>
    <w:lvl w:ilvl="0">
      <w:start w:val="1"/>
      <w:numFmt w:val="bullet"/>
      <w:lvlText w:val=""/>
      <w:lvlJc w:val="left"/>
      <w:pPr>
        <w:ind w:left="644"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4D847D7"/>
    <w:multiLevelType w:val="multilevel"/>
    <w:tmpl w:val="94480792"/>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4A3F1A45"/>
    <w:multiLevelType w:val="multilevel"/>
    <w:tmpl w:val="0BB80350"/>
    <w:styleLink w:val="WW8Num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6046DB2"/>
    <w:multiLevelType w:val="multilevel"/>
    <w:tmpl w:val="1F3EED9A"/>
    <w:styleLink w:val="WW8Num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68704C73"/>
    <w:multiLevelType w:val="multilevel"/>
    <w:tmpl w:val="44F2532E"/>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780D5CC1"/>
    <w:multiLevelType w:val="multilevel"/>
    <w:tmpl w:val="243C61B4"/>
    <w:styleLink w:val="WW8Num5"/>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sz w:val="20"/>
      </w:rPr>
    </w:lvl>
    <w:lvl w:ilvl="2">
      <w:numFmt w:val="bullet"/>
      <w:lvlText w:val=""/>
      <w:lvlJc w:val="left"/>
      <w:pPr>
        <w:ind w:left="1800" w:hanging="360"/>
      </w:pPr>
      <w:rPr>
        <w:rFonts w:ascii="Wingdings" w:hAnsi="Wingdings" w:cs="Wingdings"/>
        <w:sz w:val="20"/>
      </w:rPr>
    </w:lvl>
    <w:lvl w:ilvl="3">
      <w:numFmt w:val="bullet"/>
      <w:lvlText w:val=""/>
      <w:lvlJc w:val="left"/>
      <w:pPr>
        <w:ind w:left="2520" w:hanging="360"/>
      </w:pPr>
      <w:rPr>
        <w:rFonts w:ascii="Wingdings" w:hAnsi="Wingdings" w:cs="Wingdings"/>
        <w:sz w:val="20"/>
      </w:rPr>
    </w:lvl>
    <w:lvl w:ilvl="4">
      <w:numFmt w:val="bullet"/>
      <w:lvlText w:val=""/>
      <w:lvlJc w:val="left"/>
      <w:pPr>
        <w:ind w:left="3240" w:hanging="360"/>
      </w:pPr>
      <w:rPr>
        <w:rFonts w:ascii="Wingdings" w:hAnsi="Wingdings" w:cs="Wingdings"/>
        <w:sz w:val="20"/>
      </w:rPr>
    </w:lvl>
    <w:lvl w:ilvl="5">
      <w:numFmt w:val="bullet"/>
      <w:lvlText w:val=""/>
      <w:lvlJc w:val="left"/>
      <w:pPr>
        <w:ind w:left="3960" w:hanging="360"/>
      </w:pPr>
      <w:rPr>
        <w:rFonts w:ascii="Wingdings" w:hAnsi="Wingdings" w:cs="Wingdings"/>
        <w:sz w:val="20"/>
      </w:rPr>
    </w:lvl>
    <w:lvl w:ilvl="6">
      <w:numFmt w:val="bullet"/>
      <w:lvlText w:val=""/>
      <w:lvlJc w:val="left"/>
      <w:pPr>
        <w:ind w:left="4680" w:hanging="360"/>
      </w:pPr>
      <w:rPr>
        <w:rFonts w:ascii="Wingdings" w:hAnsi="Wingdings" w:cs="Wingdings"/>
        <w:sz w:val="20"/>
      </w:rPr>
    </w:lvl>
    <w:lvl w:ilvl="7">
      <w:numFmt w:val="bullet"/>
      <w:lvlText w:val=""/>
      <w:lvlJc w:val="left"/>
      <w:pPr>
        <w:ind w:left="5400" w:hanging="360"/>
      </w:pPr>
      <w:rPr>
        <w:rFonts w:ascii="Wingdings" w:hAnsi="Wingdings" w:cs="Wingdings"/>
        <w:sz w:val="20"/>
      </w:rPr>
    </w:lvl>
    <w:lvl w:ilvl="8">
      <w:numFmt w:val="bullet"/>
      <w:lvlText w:val=""/>
      <w:lvlJc w:val="left"/>
      <w:pPr>
        <w:ind w:left="6120" w:hanging="360"/>
      </w:pPr>
      <w:rPr>
        <w:rFonts w:ascii="Wingdings" w:hAnsi="Wingdings" w:cs="Wingdings"/>
        <w:sz w:val="20"/>
      </w:rPr>
    </w:lvl>
  </w:abstractNum>
  <w:num w:numId="1">
    <w:abstractNumId w:val="5"/>
  </w:num>
  <w:num w:numId="2">
    <w:abstractNumId w:val="3"/>
  </w:num>
  <w:num w:numId="3">
    <w:abstractNumId w:val="2"/>
  </w:num>
  <w:num w:numId="4">
    <w:abstractNumId w:val="7"/>
  </w:num>
  <w:num w:numId="5">
    <w:abstractNumId w:val="4"/>
  </w:num>
  <w:num w:numId="6">
    <w:abstractNumId w:val="8"/>
  </w:num>
  <w:num w:numId="7">
    <w:abstractNumId w:val="6"/>
  </w:num>
  <w:num w:numId="8">
    <w:abstractNumId w:val="5"/>
    <w:lvlOverride w:ilvl="0">
      <w:startOverride w:val="1"/>
    </w:lvlOverride>
  </w:num>
  <w:num w:numId="9">
    <w:abstractNumId w:val="3"/>
  </w:num>
  <w:num w:numId="10">
    <w:abstractNumId w:val="2"/>
  </w:num>
  <w:num w:numId="11">
    <w:abstractNumId w:val="0"/>
  </w:num>
  <w:num w:numId="12">
    <w:abstractNumId w:val="7"/>
  </w:num>
  <w:num w:numId="13">
    <w:abstractNumId w:val="4"/>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FA"/>
    <w:rsid w:val="00080A01"/>
    <w:rsid w:val="004B52D5"/>
    <w:rsid w:val="008D3EEF"/>
    <w:rsid w:val="009069FA"/>
    <w:rsid w:val="00D4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513F3-B776-47F3-991A-DE3BFAA8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autoSpaceDE w:val="0"/>
    </w:pPr>
    <w:rPr>
      <w:rFonts w:ascii="Times New Roman" w:eastAsia="Times New Roman" w:hAnsi="Times New Roman" w:cs="Times New Roman"/>
      <w:color w:val="000000"/>
      <w:lang w:bidi="ar-SA"/>
    </w:rPr>
  </w:style>
  <w:style w:type="paragraph" w:styleId="NormalnyWeb">
    <w:name w:val="Normal (Web)"/>
    <w:basedOn w:val="Standard"/>
    <w:pPr>
      <w:spacing w:before="280" w:after="280"/>
    </w:pPr>
    <w:rPr>
      <w:sz w:val="21"/>
      <w:szCs w:val="21"/>
    </w:rPr>
  </w:style>
  <w:style w:type="paragraph" w:customStyle="1" w:styleId="TableContents">
    <w:name w:val="Table Contents"/>
    <w:basedOn w:val="Standard"/>
    <w:pPr>
      <w:suppressLineNumbers/>
    </w:p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0">
    <w:name w:val="WW8Num15z0"/>
    <w:rPr>
      <w:rFonts w:ascii="Symbol" w:eastAsia="Symbol" w:hAnsi="Symbol" w:cs="Symbol"/>
      <w:sz w:val="24"/>
      <w:szCs w:val="24"/>
    </w:rPr>
  </w:style>
  <w:style w:type="character" w:customStyle="1" w:styleId="WW8Num28z0">
    <w:name w:val="WW8Num28z0"/>
    <w:rPr>
      <w:rFonts w:ascii="Symbol" w:eastAsia="Symbol" w:hAnsi="Symbol" w:cs="Symbol"/>
      <w:sz w:val="20"/>
    </w:rPr>
  </w:style>
  <w:style w:type="character" w:customStyle="1" w:styleId="WW8Num28z1">
    <w:name w:val="WW8Num28z1"/>
    <w:rPr>
      <w:rFonts w:ascii="Courier New" w:eastAsia="Courier New" w:hAnsi="Courier New" w:cs="Courier New"/>
      <w:sz w:val="20"/>
    </w:rPr>
  </w:style>
  <w:style w:type="character" w:customStyle="1" w:styleId="WW8Num28z2">
    <w:name w:val="WW8Num28z2"/>
    <w:rPr>
      <w:rFonts w:ascii="Wingdings" w:eastAsia="Wingdings" w:hAnsi="Wingdings" w:cs="Wingdings"/>
      <w:sz w:val="20"/>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9z0">
    <w:name w:val="WW8Num9z0"/>
    <w:rPr>
      <w:rFonts w:ascii="Symbol" w:eastAsia="Symbol" w:hAnsi="Symbol" w:cs="Symbol"/>
      <w:sz w:val="20"/>
    </w:rPr>
  </w:style>
  <w:style w:type="character" w:customStyle="1" w:styleId="WW8Num9z1">
    <w:name w:val="WW8Num9z1"/>
    <w:rPr>
      <w:rFonts w:ascii="Courier New" w:eastAsia="Courier New" w:hAnsi="Courier New" w:cs="Courier New"/>
      <w:sz w:val="20"/>
    </w:rPr>
  </w:style>
  <w:style w:type="character" w:customStyle="1" w:styleId="WW8Num9z2">
    <w:name w:val="WW8Num9z2"/>
    <w:rPr>
      <w:rFonts w:ascii="Wingdings" w:eastAsia="Wingdings" w:hAnsi="Wingdings" w:cs="Wingdings"/>
      <w:sz w:val="20"/>
    </w:rPr>
  </w:style>
  <w:style w:type="character" w:customStyle="1" w:styleId="NumberingSymbols">
    <w:name w:val="Numbering Symbols"/>
  </w:style>
  <w:style w:type="numbering" w:customStyle="1" w:styleId="WW8Num2">
    <w:name w:val="WW8Num2"/>
    <w:basedOn w:val="Bezlisty"/>
    <w:pPr>
      <w:numPr>
        <w:numId w:val="1"/>
      </w:numPr>
    </w:pPr>
  </w:style>
  <w:style w:type="numbering" w:customStyle="1" w:styleId="WW8Num15">
    <w:name w:val="WW8Num15"/>
    <w:basedOn w:val="Bezlisty"/>
    <w:pPr>
      <w:numPr>
        <w:numId w:val="2"/>
      </w:numPr>
    </w:pPr>
  </w:style>
  <w:style w:type="numbering" w:customStyle="1" w:styleId="WW8Num28">
    <w:name w:val="WW8Num28"/>
    <w:basedOn w:val="Bezlisty"/>
    <w:pPr>
      <w:numPr>
        <w:numId w:val="3"/>
      </w:numPr>
    </w:pPr>
  </w:style>
  <w:style w:type="numbering" w:customStyle="1" w:styleId="WW8Num20">
    <w:name w:val="WW8Num20"/>
    <w:basedOn w:val="Bezlisty"/>
    <w:pPr>
      <w:numPr>
        <w:numId w:val="4"/>
      </w:numPr>
    </w:pPr>
  </w:style>
  <w:style w:type="numbering" w:customStyle="1" w:styleId="WW8Num16">
    <w:name w:val="WW8Num16"/>
    <w:basedOn w:val="Bezlisty"/>
    <w:pPr>
      <w:numPr>
        <w:numId w:val="5"/>
      </w:numPr>
    </w:pPr>
  </w:style>
  <w:style w:type="numbering" w:customStyle="1" w:styleId="WW8Num5">
    <w:name w:val="WW8Num5"/>
    <w:basedOn w:val="Bezlisty"/>
    <w:pPr>
      <w:numPr>
        <w:numId w:val="6"/>
      </w:numPr>
    </w:pPr>
  </w:style>
  <w:style w:type="numbering" w:customStyle="1" w:styleId="WW8Num9">
    <w:name w:val="WW8Num9"/>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3143</Words>
  <Characters>18860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dc:creator>
  <cp:lastModifiedBy>RYSZARD</cp:lastModifiedBy>
  <cp:revision>3</cp:revision>
  <dcterms:created xsi:type="dcterms:W3CDTF">2017-09-13T06:49:00Z</dcterms:created>
  <dcterms:modified xsi:type="dcterms:W3CDTF">2017-09-13T06:53:00Z</dcterms:modified>
</cp:coreProperties>
</file>