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6E" w:rsidRPr="0016753B" w:rsidRDefault="0016753B"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b/>
          <w:color w:val="000000"/>
          <w:sz w:val="36"/>
          <w:szCs w:val="36"/>
        </w:rPr>
      </w:pPr>
      <w:r w:rsidRPr="0016753B">
        <w:rPr>
          <w:rFonts w:ascii="Times New Roman" w:hAnsi="Times New Roman" w:cs="Times New Roman"/>
          <w:b/>
          <w:color w:val="000000"/>
          <w:sz w:val="36"/>
          <w:szCs w:val="36"/>
        </w:rPr>
        <w:t>Wymagania edukacyjne</w:t>
      </w:r>
      <w:r>
        <w:rPr>
          <w:rFonts w:ascii="Times New Roman" w:hAnsi="Times New Roman" w:cs="Times New Roman"/>
          <w:b/>
          <w:color w:val="000000"/>
          <w:sz w:val="36"/>
          <w:szCs w:val="36"/>
        </w:rPr>
        <w:t xml:space="preserve"> klasa 5 i 6</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bookmarkStart w:id="0" w:name="_GoBack"/>
      <w:bookmarkEnd w:id="0"/>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Przedstawiona niżej propozycja może okazać się pomocna przy ocenie pracy ucznia.</w:t>
      </w:r>
    </w:p>
    <w:tbl>
      <w:tblPr>
        <w:tblW w:w="0" w:type="auto"/>
        <w:tblInd w:w="57" w:type="dxa"/>
        <w:tblLayout w:type="fixed"/>
        <w:tblCellMar>
          <w:left w:w="0" w:type="dxa"/>
          <w:right w:w="0" w:type="dxa"/>
        </w:tblCellMar>
        <w:tblLook w:val="0000" w:firstRow="0" w:lastRow="0" w:firstColumn="0" w:lastColumn="0" w:noHBand="0" w:noVBand="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zdarzają mu się pojedyncze przypadki, że jest nieprzygotowany </w:t>
            </w:r>
            <w:r w:rsidRPr="00D444EA">
              <w:rPr>
                <w:rFonts w:ascii="Arial" w:hAnsi="Arial" w:cs="Arial"/>
                <w:sz w:val="16"/>
                <w:szCs w:val="16"/>
              </w:rPr>
              <w:lastRenderedPageBreak/>
              <w:t>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lastRenderedPageBreak/>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lastRenderedPageBreak/>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lastRenderedPageBreak/>
        <w:t>Ocena pracy indywidualnej ucznia</w:t>
      </w:r>
    </w:p>
    <w:tbl>
      <w:tblPr>
        <w:tblW w:w="3873" w:type="pct"/>
        <w:tblCellMar>
          <w:left w:w="0" w:type="dxa"/>
          <w:right w:w="0" w:type="dxa"/>
        </w:tblCellMar>
        <w:tblLook w:val="0000" w:firstRow="0" w:lastRow="0" w:firstColumn="0" w:lastColumn="0" w:noHBand="0" w:noVBand="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t>Ocena pracy grupowej uczniów</w:t>
      </w:r>
    </w:p>
    <w:tbl>
      <w:tblPr>
        <w:tblW w:w="0" w:type="auto"/>
        <w:tblInd w:w="57" w:type="dxa"/>
        <w:tblLayout w:type="fixed"/>
        <w:tblCellMar>
          <w:left w:w="0" w:type="dxa"/>
          <w:right w:w="0" w:type="dxa"/>
        </w:tblCellMar>
        <w:tblLook w:val="0000" w:firstRow="0" w:lastRow="0" w:firstColumn="0" w:lastColumn="0" w:noHBand="0" w:noVBand="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firstRow="0" w:lastRow="0" w:firstColumn="0" w:lastColumn="0" w:noHBand="0" w:noVBand="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lastRenderedPageBreak/>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firstRow="0" w:lastRow="0" w:firstColumn="0" w:lastColumn="0" w:noHBand="0" w:noVBand="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lastRenderedPageBreak/>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firstRow="0" w:lastRow="0" w:firstColumn="0" w:lastColumn="0" w:noHBand="0" w:noVBand="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lastRenderedPageBreak/>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jaka jest różnica między 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t>Kryteria ocen w zakresie Modułu III.</w:t>
      </w:r>
    </w:p>
    <w:tbl>
      <w:tblPr>
        <w:tblW w:w="5000" w:type="pct"/>
        <w:tblCellMar>
          <w:left w:w="0" w:type="dxa"/>
          <w:right w:w="0" w:type="dxa"/>
        </w:tblCellMar>
        <w:tblLook w:val="0000" w:firstRow="0" w:lastRow="0" w:firstColumn="0" w:lastColumn="0" w:noHBand="0" w:noVBand="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Zasady bezpiecznego korzystania z urządzeń </w:t>
            </w:r>
            <w:r w:rsidRPr="007164D6">
              <w:rPr>
                <w:rFonts w:ascii="Arial" w:hAnsi="Arial" w:cs="Arial"/>
                <w:b/>
                <w:bCs/>
                <w:color w:val="000000"/>
                <w:sz w:val="16"/>
                <w:szCs w:val="16"/>
              </w:rPr>
              <w:lastRenderedPageBreak/>
              <w:t>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wymienić dokumenty, w których należy  </w:t>
            </w:r>
            <w:r w:rsidR="00B46EAB" w:rsidRPr="007164D6">
              <w:rPr>
                <w:rFonts w:ascii="Arial" w:hAnsi="Arial" w:cs="Arial"/>
                <w:color w:val="000000"/>
                <w:sz w:val="16"/>
                <w:szCs w:val="16"/>
              </w:rPr>
              <w:lastRenderedPageBreak/>
              <w:t>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wyszukiwać w instrukcji potrzebne </w:t>
            </w:r>
            <w:r w:rsidR="00B46EAB" w:rsidRPr="007164D6">
              <w:rPr>
                <w:rFonts w:ascii="Arial" w:hAnsi="Arial" w:cs="Arial"/>
                <w:color w:val="000000"/>
                <w:sz w:val="16"/>
                <w:szCs w:val="16"/>
              </w:rPr>
              <w:lastRenderedPageBreak/>
              <w:t>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korzystać z informacji na temat obsługi i </w:t>
            </w:r>
            <w:r w:rsidR="00B46EAB" w:rsidRPr="007164D6">
              <w:rPr>
                <w:rFonts w:ascii="Arial" w:hAnsi="Arial" w:cs="Arial"/>
                <w:color w:val="000000"/>
                <w:sz w:val="16"/>
                <w:szCs w:val="16"/>
              </w:rPr>
              <w:lastRenderedPageBreak/>
              <w:t>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wymienić informacje, które powinny się </w:t>
            </w:r>
            <w:r w:rsidR="00B46EAB" w:rsidRPr="007164D6">
              <w:rPr>
                <w:rFonts w:ascii="Arial" w:hAnsi="Arial" w:cs="Arial"/>
                <w:color w:val="000000"/>
                <w:sz w:val="16"/>
                <w:szCs w:val="16"/>
              </w:rPr>
              <w:lastRenderedPageBreak/>
              <w:t>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lastRenderedPageBreak/>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lastRenderedPageBreak/>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rdzo dobrą. Celowo nie umieszczono oceny celującej. Ocena ta jest przeznaczona dla uczniów posiadających wiedzę i umiejętności pozaprogramowe.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34" w:rsidRDefault="00200A34" w:rsidP="00285D6F">
      <w:pPr>
        <w:spacing w:after="0" w:line="240" w:lineRule="auto"/>
      </w:pPr>
      <w:r>
        <w:separator/>
      </w:r>
    </w:p>
  </w:endnote>
  <w:endnote w:type="continuationSeparator" w:id="0">
    <w:p w:rsidR="00200A34" w:rsidRDefault="00200A34"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panose1 w:val="00000000000000000000"/>
    <w:charset w:val="00"/>
    <w:family w:val="modern"/>
    <w:notTrueType/>
    <w:pitch w:val="variable"/>
    <w:sig w:usb0="800000AF"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altName w:val="Times New Roman"/>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Bold">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AB" w:rsidRDefault="00200A34" w:rsidP="007B3CB5">
    <w:pPr>
      <w:pStyle w:val="Stopka"/>
      <w:tabs>
        <w:tab w:val="clear" w:pos="9072"/>
        <w:tab w:val="right" w:pos="9639"/>
      </w:tabs>
      <w:spacing w:before="120"/>
      <w:ind w:left="-567"/>
    </w:pPr>
    <w:r>
      <w:rPr>
        <w:b/>
        <w:noProof/>
        <w:color w:val="003892"/>
        <w:lang w:eastAsia="pl-PL"/>
      </w:rPr>
      <w:pict>
        <v:line id="Łącznik prostoliniowy 3" o:spid="_x0000_s2050" style="position:absolute;left:0;text-align:left;z-index:251659264;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B46EAB">
      <w:rPr>
        <w:b/>
        <w:color w:val="003892"/>
      </w:rPr>
      <w:t xml:space="preserve"> </w:t>
    </w:r>
    <w:r w:rsidR="00B46EAB" w:rsidRPr="009E0F62">
      <w:rPr>
        <w:b/>
        <w:color w:val="003892"/>
      </w:rPr>
      <w:t>AUTORZY:</w:t>
    </w:r>
    <w:r w:rsidR="00B46EAB" w:rsidRPr="00285D6F">
      <w:rPr>
        <w:color w:val="003892"/>
      </w:rPr>
      <w:t xml:space="preserve"> </w:t>
    </w:r>
    <w:r w:rsidR="00B46EAB">
      <w:rPr>
        <w:rFonts w:ascii="AgendaPl-Regular" w:hAnsi="AgendaPl-Regular" w:cs="AgendaPl-Regular"/>
        <w:sz w:val="20"/>
        <w:szCs w:val="20"/>
      </w:rPr>
      <w:t>Ewa Bubak, Ewa Królicka</w:t>
    </w:r>
  </w:p>
  <w:p w:rsidR="00B46EAB" w:rsidRDefault="00200A34" w:rsidP="00285D6F">
    <w:pPr>
      <w:pStyle w:val="Stopka"/>
      <w:tabs>
        <w:tab w:val="clear" w:pos="9072"/>
        <w:tab w:val="right" w:pos="9639"/>
      </w:tabs>
      <w:ind w:left="-567" w:right="1"/>
    </w:pPr>
    <w:r>
      <w:rPr>
        <w:b/>
        <w:noProof/>
        <w:color w:val="003892"/>
        <w:lang w:eastAsia="pl-PL"/>
      </w:rPr>
      <w:pict>
        <v:line id="Łącznik prostoliniowy 5" o:spid="_x0000_s2049" style="position:absolute;left:0;text-align:left;z-index:251661312;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B46EAB" w:rsidRDefault="00B46EAB" w:rsidP="00D22D55">
    <w:pPr>
      <w:pStyle w:val="Stopka"/>
      <w:tabs>
        <w:tab w:val="clear" w:pos="4536"/>
        <w:tab w:val="clear" w:pos="9072"/>
      </w:tabs>
      <w:ind w:left="-1417"/>
    </w:pPr>
    <w:r>
      <w:rPr>
        <w:noProof/>
        <w:lang w:eastAsia="pl-PL"/>
      </w:rPr>
      <w:drawing>
        <wp:inline distT="0" distB="0" distL="0" distR="0">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Pr>
        <w:noProof/>
        <w:lang w:eastAsia="pl-PL"/>
      </w:rPr>
      <w:drawing>
        <wp:inline distT="0" distB="0" distL="0" distR="0">
          <wp:extent cx="3376863" cy="304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2" cstate="print">
                    <a:extLst>
                      <a:ext uri="{28A0092B-C50C-407E-A947-70E740481C1C}">
                        <a14:useLocalDpi xmlns:a14="http://schemas.microsoft.com/office/drawing/2010/main" val="0"/>
                      </a:ext>
                    </a:extLst>
                  </a:blip>
                  <a:srcRect l="48449" t="-1" r="6799" b="48629"/>
                  <a:stretch/>
                </pic:blipFill>
                <pic:spPr bwMode="auto">
                  <a:xfrm>
                    <a:off x="0" y="0"/>
                    <a:ext cx="3377131" cy="304824"/>
                  </a:xfrm>
                  <a:prstGeom prst="rect">
                    <a:avLst/>
                  </a:prstGeom>
                  <a:ln>
                    <a:noFill/>
                  </a:ln>
                  <a:extLst>
                    <a:ext uri="{53640926-AAD7-44D8-BBD7-CCE9431645EC}">
                      <a14:shadowObscured xmlns:a14="http://schemas.microsoft.com/office/drawing/2010/main"/>
                    </a:ext>
                  </a:extLst>
                </pic:spPr>
              </pic:pic>
            </a:graphicData>
          </a:graphic>
        </wp:inline>
      </w:drawing>
    </w:r>
  </w:p>
  <w:p w:rsidR="00B46EAB" w:rsidRDefault="005B1596" w:rsidP="009130E5">
    <w:pPr>
      <w:pStyle w:val="Stopka"/>
      <w:ind w:left="-1417"/>
      <w:jc w:val="center"/>
    </w:pPr>
    <w:r>
      <w:fldChar w:fldCharType="begin"/>
    </w:r>
    <w:r w:rsidR="00B46EAB">
      <w:instrText>PAGE   \* MERGEFORMAT</w:instrText>
    </w:r>
    <w:r>
      <w:fldChar w:fldCharType="separate"/>
    </w:r>
    <w:r w:rsidR="0016753B">
      <w:rPr>
        <w:noProof/>
      </w:rPr>
      <w:t>5</w:t>
    </w:r>
    <w:r>
      <w:fldChar w:fldCharType="end"/>
    </w:r>
  </w:p>
  <w:p w:rsidR="00B46EAB" w:rsidRPr="00285D6F" w:rsidRDefault="00B46EAB" w:rsidP="00D22D55">
    <w:pPr>
      <w:pStyle w:val="Stopka"/>
      <w:tabs>
        <w:tab w:val="clear" w:pos="4536"/>
        <w:tab w:val="clear" w:pos="9072"/>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34" w:rsidRDefault="00200A34" w:rsidP="00285D6F">
      <w:pPr>
        <w:spacing w:after="0" w:line="240" w:lineRule="auto"/>
      </w:pPr>
      <w:r>
        <w:separator/>
      </w:r>
    </w:p>
  </w:footnote>
  <w:footnote w:type="continuationSeparator" w:id="0">
    <w:p w:rsidR="00200A34" w:rsidRDefault="00200A34"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B46EAB" w:rsidP="005439B1">
    <w:pPr>
      <w:pStyle w:val="Nagwek"/>
      <w:tabs>
        <w:tab w:val="clear" w:pos="9072"/>
      </w:tabs>
      <w:ind w:left="142" w:right="142"/>
    </w:pPr>
    <w:r>
      <w:rPr>
        <w:rFonts w:ascii="AgendaPl Bold" w:hAnsi="AgendaPl Bold" w:cs="AgendaPl Bold"/>
        <w:b/>
        <w:bCs/>
        <w:color w:val="F7931D"/>
        <w:sz w:val="24"/>
        <w:szCs w:val="24"/>
      </w:rPr>
      <w:t xml:space="preserve">  </w:t>
    </w:r>
    <w:r>
      <w:rPr>
        <w:rFonts w:ascii="AgendaPl-Bold" w:hAnsi="AgendaPl-Bold" w:cs="AgendaPl-Bold"/>
        <w:b/>
        <w:bCs/>
        <w:color w:val="FF8000"/>
        <w:sz w:val="24"/>
        <w:szCs w:val="24"/>
      </w:rPr>
      <w:t xml:space="preserve">Zajęcia techniczne </w:t>
    </w:r>
    <w:r>
      <w:rPr>
        <w:rFonts w:ascii="AgendaPl-Thin" w:hAnsi="AgendaPl-Thin" w:cs="AgendaPl-Thin"/>
        <w:sz w:val="32"/>
        <w:szCs w:val="32"/>
      </w:rPr>
      <w:t xml:space="preserve">| </w:t>
    </w:r>
    <w:r>
      <w:rPr>
        <w:rFonts w:ascii="AgendaPl-Regular" w:hAnsi="AgendaPl-Regular" w:cs="AgendaPl-Regular"/>
      </w:rPr>
      <w:t xml:space="preserve">Technika na co dzień </w:t>
    </w:r>
    <w:r>
      <w:rPr>
        <w:rFonts w:ascii="AgendaPl-Thin" w:hAnsi="AgendaPl-Thin" w:cs="AgendaPl-Thin"/>
        <w:sz w:val="32"/>
        <w:szCs w:val="32"/>
      </w:rPr>
      <w:t xml:space="preserve">| </w:t>
    </w:r>
    <w:r>
      <w:rPr>
        <w:rFonts w:ascii="AgendaPl-Regular" w:hAnsi="AgendaPl-Regular" w:cs="AgendaPl-Regular"/>
      </w:rPr>
      <w:t>Klasa 4-6</w:t>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t xml:space="preserve">           </w:t>
    </w:r>
    <w:r>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5D6F"/>
    <w:rsid w:val="00000E9D"/>
    <w:rsid w:val="000160F5"/>
    <w:rsid w:val="00045315"/>
    <w:rsid w:val="0007701E"/>
    <w:rsid w:val="000E2790"/>
    <w:rsid w:val="00132ADF"/>
    <w:rsid w:val="0016753B"/>
    <w:rsid w:val="0018109A"/>
    <w:rsid w:val="00187647"/>
    <w:rsid w:val="001E4CB0"/>
    <w:rsid w:val="00200A34"/>
    <w:rsid w:val="00210568"/>
    <w:rsid w:val="00241D19"/>
    <w:rsid w:val="00245DA5"/>
    <w:rsid w:val="00285D6F"/>
    <w:rsid w:val="002D0E59"/>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5152D"/>
    <w:rsid w:val="005B1596"/>
    <w:rsid w:val="00602ABB"/>
    <w:rsid w:val="0061499B"/>
    <w:rsid w:val="006224B0"/>
    <w:rsid w:val="00672759"/>
    <w:rsid w:val="00684997"/>
    <w:rsid w:val="006B5810"/>
    <w:rsid w:val="006D72E1"/>
    <w:rsid w:val="007164D6"/>
    <w:rsid w:val="00735A85"/>
    <w:rsid w:val="00763F61"/>
    <w:rsid w:val="007A6476"/>
    <w:rsid w:val="007B3CB5"/>
    <w:rsid w:val="00855DD6"/>
    <w:rsid w:val="008632BB"/>
    <w:rsid w:val="008648E0"/>
    <w:rsid w:val="008C2636"/>
    <w:rsid w:val="009130E5"/>
    <w:rsid w:val="00914856"/>
    <w:rsid w:val="009C356E"/>
    <w:rsid w:val="009E0F62"/>
    <w:rsid w:val="00A239DF"/>
    <w:rsid w:val="00A33C4B"/>
    <w:rsid w:val="00A5798A"/>
    <w:rsid w:val="00A839B0"/>
    <w:rsid w:val="00A91D84"/>
    <w:rsid w:val="00AA3871"/>
    <w:rsid w:val="00AB49BA"/>
    <w:rsid w:val="00AC4D0F"/>
    <w:rsid w:val="00AD1D24"/>
    <w:rsid w:val="00B46EAB"/>
    <w:rsid w:val="00BE4A98"/>
    <w:rsid w:val="00C057DB"/>
    <w:rsid w:val="00C118EE"/>
    <w:rsid w:val="00C5700F"/>
    <w:rsid w:val="00C87B7D"/>
    <w:rsid w:val="00D04F56"/>
    <w:rsid w:val="00D06FC0"/>
    <w:rsid w:val="00D15159"/>
    <w:rsid w:val="00D22D55"/>
    <w:rsid w:val="00D444EA"/>
    <w:rsid w:val="00DF0585"/>
    <w:rsid w:val="00E3226E"/>
    <w:rsid w:val="00E3390F"/>
    <w:rsid w:val="00E7325B"/>
    <w:rsid w:val="00E94882"/>
    <w:rsid w:val="00EA79EA"/>
    <w:rsid w:val="00EC12C2"/>
    <w:rsid w:val="00EF1EED"/>
    <w:rsid w:val="00F447E1"/>
    <w:rsid w:val="00F93A4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1DB2CF3-7B1E-40D6-9790-0F702BA0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596"/>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4563-F924-4DFD-8D41-9B22EC6A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4726</Words>
  <Characters>28359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RYSZARD</cp:lastModifiedBy>
  <cp:revision>17</cp:revision>
  <dcterms:created xsi:type="dcterms:W3CDTF">2015-07-22T09:57:00Z</dcterms:created>
  <dcterms:modified xsi:type="dcterms:W3CDTF">2018-01-11T10:32:00Z</dcterms:modified>
</cp:coreProperties>
</file>