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A2" w:rsidRDefault="00BC4EA2" w:rsidP="00BC4EA2">
      <w:pPr>
        <w:spacing w:line="259" w:lineRule="auto"/>
        <w:jc w:val="center"/>
      </w:pPr>
      <w:r>
        <w:rPr>
          <w:b/>
          <w:i/>
        </w:rPr>
        <w:t xml:space="preserve">PRZEDMIOTOWY SYSTEM OCENIANIA Z FIZYKI </w:t>
      </w:r>
    </w:p>
    <w:p w:rsidR="00BC4EA2" w:rsidRDefault="00BC4EA2" w:rsidP="00BC4EA2">
      <w:pPr>
        <w:spacing w:line="259" w:lineRule="auto"/>
      </w:pP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proofErr w:type="spellStart"/>
      <w:r>
        <w:t>Przedmiotowy</w:t>
      </w:r>
      <w:proofErr w:type="spellEnd"/>
      <w:r>
        <w:t xml:space="preserve"> System </w:t>
      </w:r>
      <w:proofErr w:type="spellStart"/>
      <w:r>
        <w:t>Oceniania</w:t>
      </w:r>
      <w:proofErr w:type="spellEnd"/>
      <w:r>
        <w:t xml:space="preserve"> z </w:t>
      </w:r>
      <w:proofErr w:type="spellStart"/>
      <w:r>
        <w:t>fizyki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postawy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. </w:t>
      </w: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proofErr w:type="spellStart"/>
      <w:r>
        <w:t>Ocenie</w:t>
      </w:r>
      <w:proofErr w:type="spellEnd"/>
      <w:r>
        <w:t xml:space="preserve">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: </w:t>
      </w:r>
    </w:p>
    <w:p w:rsidR="00BC4EA2" w:rsidRDefault="00BC4EA2" w:rsidP="00BC4EA2">
      <w:pPr>
        <w:numPr>
          <w:ilvl w:val="1"/>
          <w:numId w:val="69"/>
        </w:numPr>
        <w:spacing w:after="15" w:line="247" w:lineRule="auto"/>
        <w:jc w:val="both"/>
      </w:pPr>
      <w:proofErr w:type="spellStart"/>
      <w:r>
        <w:t>Znajomość</w:t>
      </w:r>
      <w:proofErr w:type="spellEnd"/>
      <w:r>
        <w:t xml:space="preserve"> </w:t>
      </w:r>
      <w:proofErr w:type="spellStart"/>
      <w:r>
        <w:t>pojęć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9"/>
        </w:numPr>
        <w:spacing w:after="15" w:line="247" w:lineRule="auto"/>
        <w:jc w:val="both"/>
      </w:pPr>
      <w:proofErr w:type="spellStart"/>
      <w:r>
        <w:t>Opisywanie</w:t>
      </w:r>
      <w:proofErr w:type="spellEnd"/>
      <w:r>
        <w:t xml:space="preserve">,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syntezy</w:t>
      </w:r>
      <w:proofErr w:type="spellEnd"/>
      <w:r>
        <w:t xml:space="preserve"> </w:t>
      </w:r>
      <w:proofErr w:type="spellStart"/>
      <w:r>
        <w:t>zjawisk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9"/>
        </w:numPr>
        <w:spacing w:after="36" w:line="247" w:lineRule="auto"/>
        <w:jc w:val="both"/>
      </w:pPr>
      <w:proofErr w:type="spellStart"/>
      <w:r>
        <w:t>Rozwiązywanie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problemowych</w:t>
      </w:r>
      <w:proofErr w:type="spellEnd"/>
      <w:r>
        <w:t xml:space="preserve"> (</w:t>
      </w:r>
      <w:proofErr w:type="spellStart"/>
      <w:r>
        <w:t>teoretycznych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praktycznych</w:t>
      </w:r>
      <w:proofErr w:type="spellEnd"/>
      <w:r>
        <w:t xml:space="preserve">) 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znanych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9"/>
        </w:numPr>
        <w:spacing w:after="15" w:line="247" w:lineRule="auto"/>
        <w:jc w:val="both"/>
      </w:pPr>
      <w:proofErr w:type="spellStart"/>
      <w:r>
        <w:t>Rozwiązywanie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rachunkowych</w:t>
      </w:r>
      <w:proofErr w:type="spellEnd"/>
      <w:r>
        <w:t xml:space="preserve">, a w </w:t>
      </w:r>
      <w:proofErr w:type="spellStart"/>
      <w:r>
        <w:t>tym</w:t>
      </w:r>
      <w:proofErr w:type="spellEnd"/>
      <w:r>
        <w:t>:</w:t>
      </w:r>
    </w:p>
    <w:p w:rsidR="00BC4EA2" w:rsidRDefault="00BC4EA2" w:rsidP="00BC4EA2">
      <w:pPr>
        <w:jc w:val="both"/>
      </w:pPr>
      <w:r>
        <w:t xml:space="preserve"> - </w:t>
      </w:r>
      <w:r>
        <w:tab/>
      </w:r>
      <w:proofErr w:type="spellStart"/>
      <w:r>
        <w:t>dokonanie</w:t>
      </w:r>
      <w:proofErr w:type="spellEnd"/>
      <w:r>
        <w:t xml:space="preserve">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</w:p>
    <w:p w:rsidR="00BC4EA2" w:rsidRDefault="00BC4EA2" w:rsidP="00BC4EA2">
      <w:pPr>
        <w:numPr>
          <w:ilvl w:val="3"/>
          <w:numId w:val="66"/>
        </w:numPr>
        <w:spacing w:after="15" w:line="247" w:lineRule="auto"/>
        <w:ind w:left="10" w:firstLine="0"/>
        <w:jc w:val="both"/>
      </w:pPr>
      <w:proofErr w:type="spellStart"/>
      <w:r>
        <w:t>tworzenie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</w:p>
    <w:p w:rsidR="00BC4EA2" w:rsidRDefault="00BC4EA2" w:rsidP="00BC4EA2">
      <w:pPr>
        <w:numPr>
          <w:ilvl w:val="3"/>
          <w:numId w:val="66"/>
        </w:numPr>
        <w:spacing w:after="15" w:line="247" w:lineRule="auto"/>
        <w:ind w:left="10" w:firstLine="0"/>
        <w:jc w:val="both"/>
      </w:pPr>
      <w:proofErr w:type="spellStart"/>
      <w:r>
        <w:t>znajomość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, </w:t>
      </w:r>
    </w:p>
    <w:p w:rsidR="00BC4EA2" w:rsidRDefault="00BC4EA2" w:rsidP="00BC4EA2">
      <w:pPr>
        <w:numPr>
          <w:ilvl w:val="3"/>
          <w:numId w:val="66"/>
        </w:numPr>
        <w:spacing w:after="15" w:line="247" w:lineRule="auto"/>
        <w:ind w:left="10" w:firstLine="0"/>
        <w:jc w:val="both"/>
      </w:pPr>
      <w:proofErr w:type="spellStart"/>
      <w:r>
        <w:t>znajomość</w:t>
      </w:r>
      <w:proofErr w:type="spellEnd"/>
      <w:r>
        <w:t xml:space="preserve"> </w:t>
      </w:r>
      <w:proofErr w:type="spellStart"/>
      <w:r>
        <w:t>wielkości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jednostek</w:t>
      </w:r>
      <w:proofErr w:type="spellEnd"/>
      <w:r>
        <w:t xml:space="preserve">, </w:t>
      </w:r>
    </w:p>
    <w:p w:rsidR="00BC4EA2" w:rsidRDefault="00BC4EA2" w:rsidP="00BC4EA2">
      <w:pPr>
        <w:numPr>
          <w:ilvl w:val="3"/>
          <w:numId w:val="66"/>
        </w:numPr>
        <w:spacing w:after="15" w:line="247" w:lineRule="auto"/>
        <w:ind w:left="10" w:firstLine="0"/>
        <w:jc w:val="both"/>
      </w:pPr>
      <w:proofErr w:type="spellStart"/>
      <w:r>
        <w:t>przekształcanie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, </w:t>
      </w:r>
    </w:p>
    <w:p w:rsidR="00BC4EA2" w:rsidRDefault="00BC4EA2" w:rsidP="00BC4EA2">
      <w:pPr>
        <w:numPr>
          <w:ilvl w:val="3"/>
          <w:numId w:val="66"/>
        </w:numPr>
        <w:spacing w:after="47" w:line="235" w:lineRule="auto"/>
        <w:ind w:left="10" w:firstLine="0"/>
        <w:jc w:val="both"/>
      </w:pPr>
      <w:proofErr w:type="spellStart"/>
      <w:r>
        <w:t>wykonywanie</w:t>
      </w:r>
      <w:proofErr w:type="spellEnd"/>
      <w:r>
        <w:t xml:space="preserve"> </w:t>
      </w:r>
      <w:proofErr w:type="spellStart"/>
      <w:r>
        <w:t>obliczeń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liczbach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jednostkach</w:t>
      </w:r>
      <w:proofErr w:type="spellEnd"/>
      <w:r>
        <w:t>,</w:t>
      </w:r>
    </w:p>
    <w:p w:rsidR="00BC4EA2" w:rsidRDefault="00BC4EA2" w:rsidP="00BC4EA2">
      <w:pPr>
        <w:numPr>
          <w:ilvl w:val="3"/>
          <w:numId w:val="66"/>
        </w:numPr>
        <w:spacing w:after="47" w:line="235" w:lineRule="auto"/>
        <w:ind w:left="10" w:firstLine="0"/>
        <w:jc w:val="both"/>
      </w:pPr>
      <w:proofErr w:type="spellStart"/>
      <w:r>
        <w:t>analizę</w:t>
      </w:r>
      <w:proofErr w:type="spellEnd"/>
      <w:r>
        <w:t xml:space="preserve"> </w:t>
      </w:r>
      <w:proofErr w:type="spellStart"/>
      <w:r>
        <w:t>otrzymanego</w:t>
      </w:r>
      <w:proofErr w:type="spellEnd"/>
      <w:r>
        <w:t xml:space="preserve"> </w:t>
      </w:r>
      <w:proofErr w:type="spellStart"/>
      <w:r>
        <w:t>wyniku</w:t>
      </w:r>
      <w:proofErr w:type="spellEnd"/>
      <w:r>
        <w:t xml:space="preserve">, </w:t>
      </w:r>
    </w:p>
    <w:p w:rsidR="00BC4EA2" w:rsidRDefault="00BC4EA2" w:rsidP="00BC4EA2">
      <w:pPr>
        <w:numPr>
          <w:ilvl w:val="3"/>
          <w:numId w:val="66"/>
        </w:numPr>
        <w:spacing w:after="47" w:line="235" w:lineRule="auto"/>
        <w:ind w:left="10" w:firstLine="0"/>
        <w:jc w:val="both"/>
      </w:pPr>
      <w:proofErr w:type="spellStart"/>
      <w:r>
        <w:t>sformułowanie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7"/>
        </w:numPr>
        <w:spacing w:after="15" w:line="247" w:lineRule="auto"/>
        <w:jc w:val="both"/>
      </w:pPr>
      <w:proofErr w:type="spellStart"/>
      <w:r>
        <w:t>Posługiwanie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językiem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7"/>
        </w:numPr>
        <w:spacing w:after="36" w:line="247" w:lineRule="auto"/>
        <w:jc w:val="both"/>
      </w:pPr>
      <w:proofErr w:type="spellStart"/>
      <w:r>
        <w:t>Planowanie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przeprowadzanie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. </w:t>
      </w:r>
      <w:proofErr w:type="spellStart"/>
      <w:r>
        <w:t>Analizowanie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, </w:t>
      </w:r>
      <w:proofErr w:type="spellStart"/>
      <w:r>
        <w:t>przedstawianie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w </w:t>
      </w:r>
      <w:proofErr w:type="spellStart"/>
      <w:r>
        <w:t>tabelce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wykresie</w:t>
      </w:r>
      <w:proofErr w:type="spellEnd"/>
      <w:r>
        <w:t xml:space="preserve">, </w:t>
      </w:r>
      <w:proofErr w:type="spellStart"/>
      <w:r>
        <w:t>wyciąganie</w:t>
      </w:r>
      <w:proofErr w:type="spellEnd"/>
      <w:r>
        <w:t xml:space="preserve"> </w:t>
      </w:r>
      <w:proofErr w:type="spellStart"/>
      <w:r>
        <w:t>wniosków</w:t>
      </w:r>
      <w:proofErr w:type="spellEnd"/>
      <w:r>
        <w:t xml:space="preserve">, </w:t>
      </w:r>
      <w:proofErr w:type="spellStart"/>
      <w:r>
        <w:t>wskazywanie</w:t>
      </w:r>
      <w:proofErr w:type="spellEnd"/>
      <w:r>
        <w:t xml:space="preserve"> </w:t>
      </w:r>
      <w:proofErr w:type="spellStart"/>
      <w:r>
        <w:t>źródła</w:t>
      </w:r>
      <w:proofErr w:type="spellEnd"/>
      <w:r>
        <w:t xml:space="preserve"> </w:t>
      </w:r>
      <w:proofErr w:type="spellStart"/>
      <w:r>
        <w:t>błędów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7"/>
        </w:numPr>
        <w:spacing w:after="36" w:line="247" w:lineRule="auto"/>
        <w:jc w:val="both"/>
      </w:pPr>
      <w:proofErr w:type="spellStart"/>
      <w:r>
        <w:t>Odczytywanie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przedstawianie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, </w:t>
      </w:r>
      <w:proofErr w:type="spellStart"/>
      <w:r>
        <w:t>wykresu</w:t>
      </w:r>
      <w:proofErr w:type="spellEnd"/>
      <w:r>
        <w:t xml:space="preserve">, </w:t>
      </w:r>
      <w:proofErr w:type="spellStart"/>
      <w:r>
        <w:t>rysunku</w:t>
      </w:r>
      <w:proofErr w:type="spellEnd"/>
      <w:r>
        <w:t xml:space="preserve">, </w:t>
      </w:r>
      <w:proofErr w:type="spellStart"/>
      <w:r>
        <w:t>schematu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7"/>
        </w:numPr>
        <w:spacing w:after="15" w:line="247" w:lineRule="auto"/>
        <w:jc w:val="both"/>
      </w:pPr>
      <w:proofErr w:type="spellStart"/>
      <w:r>
        <w:t>Wykorzystywanie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„</w:t>
      </w:r>
      <w:proofErr w:type="spellStart"/>
      <w:r>
        <w:t>fizycznych</w:t>
      </w:r>
      <w:proofErr w:type="spellEnd"/>
      <w:r>
        <w:t xml:space="preserve">” w </w:t>
      </w:r>
      <w:proofErr w:type="spellStart"/>
      <w:r>
        <w:t>praktyce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7"/>
        </w:numPr>
        <w:spacing w:after="15" w:line="247" w:lineRule="auto"/>
        <w:jc w:val="both"/>
      </w:pPr>
      <w:proofErr w:type="spellStart"/>
      <w:r>
        <w:t>Systematyczne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staranne</w:t>
      </w:r>
      <w:proofErr w:type="spellEnd"/>
      <w:r>
        <w:t xml:space="preserve"> </w:t>
      </w:r>
      <w:proofErr w:type="spellStart"/>
      <w:r>
        <w:t>prowadzenie</w:t>
      </w:r>
      <w:proofErr w:type="spellEnd"/>
      <w:r>
        <w:t xml:space="preserve"> </w:t>
      </w:r>
      <w:proofErr w:type="spellStart"/>
      <w:r>
        <w:t>zeszytu</w:t>
      </w:r>
      <w:proofErr w:type="spellEnd"/>
      <w:r>
        <w:t xml:space="preserve"> </w:t>
      </w:r>
      <w:proofErr w:type="spellStart"/>
      <w:r>
        <w:t>przedmiotowego</w:t>
      </w:r>
      <w:proofErr w:type="spellEnd"/>
      <w:r>
        <w:t xml:space="preserve">. </w:t>
      </w:r>
    </w:p>
    <w:p w:rsidR="00BC4EA2" w:rsidRDefault="00BC4EA2" w:rsidP="00BC4EA2">
      <w:pPr>
        <w:numPr>
          <w:ilvl w:val="0"/>
          <w:numId w:val="65"/>
        </w:numPr>
        <w:spacing w:after="37" w:line="247" w:lineRule="auto"/>
        <w:ind w:hanging="361"/>
        <w:jc w:val="both"/>
      </w:pPr>
      <w:proofErr w:type="spellStart"/>
      <w:r>
        <w:t>Przy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: </w:t>
      </w:r>
    </w:p>
    <w:p w:rsidR="00BC4EA2" w:rsidRDefault="00BC4EA2" w:rsidP="00BC4EA2">
      <w:pPr>
        <w:numPr>
          <w:ilvl w:val="1"/>
          <w:numId w:val="68"/>
        </w:numPr>
        <w:spacing w:after="37" w:line="247" w:lineRule="auto"/>
        <w:jc w:val="both"/>
      </w:pPr>
      <w:proofErr w:type="spellStart"/>
      <w:r>
        <w:rPr>
          <w:u w:val="single" w:color="000000"/>
        </w:rPr>
        <w:t>Wypowiedzi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ustne</w:t>
      </w:r>
      <w:proofErr w:type="spellEnd"/>
      <w:r>
        <w:rPr>
          <w:u w:val="single" w:color="000000"/>
        </w:rPr>
        <w:t xml:space="preserve"> (</w:t>
      </w:r>
      <w:proofErr w:type="spellStart"/>
      <w:r>
        <w:rPr>
          <w:u w:val="single" w:color="000000"/>
        </w:rPr>
        <w:t>waga</w:t>
      </w:r>
      <w:proofErr w:type="spellEnd"/>
      <w:r>
        <w:rPr>
          <w:u w:val="single" w:color="000000"/>
        </w:rPr>
        <w:t xml:space="preserve"> 2)</w:t>
      </w:r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aktualnie</w:t>
      </w:r>
      <w:proofErr w:type="spellEnd"/>
      <w:r>
        <w:t xml:space="preserve"> </w:t>
      </w:r>
      <w:proofErr w:type="spellStart"/>
      <w:r>
        <w:t>realizowanych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.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jest </w:t>
      </w:r>
      <w:proofErr w:type="spellStart"/>
      <w:r>
        <w:t>rzeczowość</w:t>
      </w:r>
      <w:proofErr w:type="spellEnd"/>
      <w:r>
        <w:t xml:space="preserve">,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, </w:t>
      </w:r>
      <w:proofErr w:type="spellStart"/>
      <w:r>
        <w:t>formułowanie</w:t>
      </w:r>
      <w:proofErr w:type="spellEnd"/>
      <w:r>
        <w:t xml:space="preserve"> </w:t>
      </w:r>
      <w:proofErr w:type="spellStart"/>
      <w:r>
        <w:t>dłuższych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.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obowiązuje</w:t>
      </w:r>
      <w:proofErr w:type="spellEnd"/>
      <w:r>
        <w:t xml:space="preserve"> </w:t>
      </w:r>
      <w:proofErr w:type="spellStart"/>
      <w:r>
        <w:t>znajomość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z </w:t>
      </w:r>
      <w:proofErr w:type="spellStart"/>
      <w:r>
        <w:t>trzech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, a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powtórzeniowej</w:t>
      </w:r>
      <w:proofErr w:type="spellEnd"/>
      <w:r>
        <w:t xml:space="preserve"> z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działu</w:t>
      </w:r>
      <w:proofErr w:type="spellEnd"/>
      <w:r>
        <w:t xml:space="preserve">. </w:t>
      </w:r>
      <w:proofErr w:type="spellStart"/>
      <w:r>
        <w:t>Uczeń</w:t>
      </w:r>
      <w:proofErr w:type="spellEnd"/>
      <w:r>
        <w:t xml:space="preserve"> 2 </w:t>
      </w:r>
      <w:proofErr w:type="spellStart"/>
      <w:r>
        <w:t>razy</w:t>
      </w:r>
      <w:proofErr w:type="spellEnd"/>
      <w:r>
        <w:t xml:space="preserve"> w </w:t>
      </w:r>
      <w:proofErr w:type="spellStart"/>
      <w:r>
        <w:t>semestrze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zgłosić</w:t>
      </w:r>
      <w:proofErr w:type="spellEnd"/>
      <w:r>
        <w:t xml:space="preserve"> </w:t>
      </w:r>
      <w:proofErr w:type="spellStart"/>
      <w:r>
        <w:t>nieprzygotowanie</w:t>
      </w:r>
      <w:proofErr w:type="spellEnd"/>
      <w:r>
        <w:t xml:space="preserve"> do </w:t>
      </w:r>
      <w:proofErr w:type="spellStart"/>
      <w:r>
        <w:t>odpowiedzi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to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powtórzeniowych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8"/>
        </w:numPr>
        <w:spacing w:after="37" w:line="247" w:lineRule="auto"/>
        <w:jc w:val="both"/>
      </w:pPr>
      <w:proofErr w:type="spellStart"/>
      <w:r>
        <w:rPr>
          <w:u w:val="single" w:color="000000"/>
        </w:rPr>
        <w:t>Sprawdziany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/>
        </w:rPr>
        <w:t>pisemne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waga</w:t>
      </w:r>
      <w:proofErr w:type="spellEnd"/>
      <w:r>
        <w:rPr>
          <w:u w:val="single"/>
        </w:rPr>
        <w:t xml:space="preserve"> 3)</w:t>
      </w:r>
      <w:r>
        <w:t xml:space="preserve"> </w:t>
      </w:r>
      <w:proofErr w:type="spellStart"/>
      <w:r>
        <w:t>sprawdzające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, </w:t>
      </w:r>
      <w:proofErr w:type="spellStart"/>
      <w:r>
        <w:t>przeprowadzane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działu</w:t>
      </w:r>
      <w:proofErr w:type="spellEnd"/>
      <w:r>
        <w:t xml:space="preserve">.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zapowiedziane</w:t>
      </w:r>
      <w:proofErr w:type="spellEnd"/>
      <w:r>
        <w:t xml:space="preserve"> 1 </w:t>
      </w:r>
      <w:proofErr w:type="spellStart"/>
      <w:r>
        <w:t>tydzień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napisania</w:t>
      </w:r>
      <w:proofErr w:type="spellEnd"/>
      <w:r>
        <w:t xml:space="preserve"> </w:t>
      </w:r>
      <w:proofErr w:type="spellStart"/>
      <w:r>
        <w:t>sprawdzianu</w:t>
      </w:r>
      <w:proofErr w:type="spellEnd"/>
      <w:r>
        <w:t xml:space="preserve"> </w:t>
      </w:r>
      <w:r>
        <w:br/>
      </w:r>
      <w:r>
        <w:lastRenderedPageBreak/>
        <w:t xml:space="preserve">w </w:t>
      </w:r>
      <w:proofErr w:type="spellStart"/>
      <w:r>
        <w:t>ciągu</w:t>
      </w:r>
      <w:proofErr w:type="spellEnd"/>
      <w:r>
        <w:t xml:space="preserve"> 2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oddania</w:t>
      </w:r>
      <w:proofErr w:type="spellEnd"/>
      <w:r>
        <w:t xml:space="preserve"> </w:t>
      </w:r>
      <w:proofErr w:type="spellStart"/>
      <w:r>
        <w:t>sprawdzianu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dłuższej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, </w:t>
      </w:r>
      <w:proofErr w:type="spellStart"/>
      <w:r>
        <w:t>spowodowanej</w:t>
      </w:r>
      <w:proofErr w:type="spellEnd"/>
      <w:r>
        <w:t xml:space="preserve"> np. </w:t>
      </w:r>
      <w:proofErr w:type="spellStart"/>
      <w:r>
        <w:t>chorobą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</w:t>
      </w:r>
      <w:r>
        <w:t>z</w:t>
      </w:r>
      <w:r>
        <w:t>godnić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inną</w:t>
      </w:r>
      <w:proofErr w:type="spellEnd"/>
      <w:r>
        <w:t xml:space="preserve"> </w:t>
      </w:r>
      <w:proofErr w:type="spellStart"/>
      <w:r>
        <w:t>formę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zaliczenia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objętego</w:t>
      </w:r>
      <w:proofErr w:type="spellEnd"/>
      <w:r>
        <w:t xml:space="preserve"> </w:t>
      </w:r>
      <w:proofErr w:type="spellStart"/>
      <w:r>
        <w:t>sprawdzianem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8"/>
        </w:numPr>
        <w:spacing w:after="37" w:line="247" w:lineRule="auto"/>
        <w:jc w:val="both"/>
      </w:pPr>
      <w:proofErr w:type="spellStart"/>
      <w:r>
        <w:rPr>
          <w:u w:val="single" w:color="000000"/>
        </w:rPr>
        <w:t>Kartkówki</w:t>
      </w:r>
      <w:proofErr w:type="spellEnd"/>
      <w:r>
        <w:rPr>
          <w:u w:val="single" w:color="000000"/>
        </w:rPr>
        <w:t xml:space="preserve"> (</w:t>
      </w:r>
      <w:proofErr w:type="spellStart"/>
      <w:r>
        <w:rPr>
          <w:u w:val="single" w:color="000000"/>
        </w:rPr>
        <w:t>waga</w:t>
      </w:r>
      <w:proofErr w:type="spellEnd"/>
      <w:r>
        <w:rPr>
          <w:u w:val="single" w:color="000000"/>
        </w:rPr>
        <w:t xml:space="preserve"> 2)</w:t>
      </w:r>
      <w:r>
        <w:t xml:space="preserve"> </w:t>
      </w:r>
      <w:proofErr w:type="spellStart"/>
      <w:r>
        <w:t>obejmujące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z </w:t>
      </w:r>
      <w:proofErr w:type="spellStart"/>
      <w:r>
        <w:t>trzech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(</w:t>
      </w:r>
      <w:proofErr w:type="spellStart"/>
      <w:r>
        <w:t>nie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zapowiadane</w:t>
      </w:r>
      <w:proofErr w:type="spellEnd"/>
      <w:r>
        <w:t xml:space="preserve">) </w:t>
      </w:r>
      <w:proofErr w:type="spellStart"/>
      <w:r>
        <w:t>lub</w:t>
      </w:r>
      <w:proofErr w:type="spellEnd"/>
      <w:r>
        <w:t xml:space="preserve"> z </w:t>
      </w:r>
      <w:proofErr w:type="spellStart"/>
      <w:r>
        <w:t>większej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(</w:t>
      </w:r>
      <w:proofErr w:type="spellStart"/>
      <w:r>
        <w:t>zapowiadane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), od 2 do 5 w </w:t>
      </w:r>
      <w:proofErr w:type="spellStart"/>
      <w:r>
        <w:t>semestrze</w:t>
      </w:r>
      <w:proofErr w:type="spellEnd"/>
      <w:r>
        <w:t xml:space="preserve">. </w:t>
      </w:r>
    </w:p>
    <w:p w:rsidR="00BC4EA2" w:rsidRDefault="00BC4EA2" w:rsidP="00BC4EA2">
      <w:pPr>
        <w:numPr>
          <w:ilvl w:val="1"/>
          <w:numId w:val="68"/>
        </w:numPr>
        <w:spacing w:after="37" w:line="247" w:lineRule="auto"/>
        <w:jc w:val="both"/>
      </w:pPr>
      <w:proofErr w:type="spellStart"/>
      <w:r>
        <w:rPr>
          <w:u w:val="single" w:color="000000"/>
        </w:rPr>
        <w:t>Aktywność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na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lekcji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prezentacja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wiedzy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umiejętności</w:t>
      </w:r>
      <w:proofErr w:type="spellEnd"/>
      <w:r>
        <w:rPr>
          <w:u w:val="single" w:color="000000"/>
        </w:rPr>
        <w:t xml:space="preserve"> w </w:t>
      </w:r>
      <w:proofErr w:type="spellStart"/>
      <w:r>
        <w:rPr>
          <w:u w:val="single" w:color="000000"/>
        </w:rPr>
        <w:t>czasie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lekcji</w:t>
      </w:r>
      <w:proofErr w:type="spellEnd"/>
      <w:r>
        <w:rPr>
          <w:u w:val="single" w:color="000000"/>
        </w:rPr>
        <w:t>, (</w:t>
      </w:r>
      <w:proofErr w:type="spellStart"/>
      <w:r>
        <w:rPr>
          <w:u w:val="single" w:color="000000"/>
        </w:rPr>
        <w:t>waga</w:t>
      </w:r>
      <w:proofErr w:type="spellEnd"/>
      <w:r>
        <w:rPr>
          <w:u w:val="single" w:color="000000"/>
        </w:rPr>
        <w:t xml:space="preserve"> 1)</w:t>
      </w:r>
      <w:r>
        <w:t xml:space="preserve">, </w:t>
      </w:r>
      <w:proofErr w:type="spellStart"/>
      <w:r>
        <w:t>obejmująca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zagadnieniami</w:t>
      </w:r>
      <w:proofErr w:type="spellEnd"/>
      <w:r>
        <w:t xml:space="preserve"> </w:t>
      </w:r>
      <w:proofErr w:type="spellStart"/>
      <w:r>
        <w:t>poruszanymi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, </w:t>
      </w:r>
      <w:proofErr w:type="spellStart"/>
      <w:r>
        <w:t>rozwiązywanie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rachunkowych</w:t>
      </w:r>
      <w:proofErr w:type="spellEnd"/>
      <w:r>
        <w:t xml:space="preserve">.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oceniana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plusów</w:t>
      </w:r>
      <w:proofErr w:type="spellEnd"/>
      <w:r>
        <w:t xml:space="preserve"> (</w:t>
      </w:r>
      <w:proofErr w:type="spellStart"/>
      <w:r>
        <w:t>gdy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zgromadzi</w:t>
      </w:r>
      <w:proofErr w:type="spellEnd"/>
      <w:r>
        <w:t xml:space="preserve"> </w:t>
      </w:r>
      <w:proofErr w:type="spellStart"/>
      <w:r>
        <w:t>pięć</w:t>
      </w:r>
      <w:proofErr w:type="spellEnd"/>
      <w:r>
        <w:t xml:space="preserve"> „+”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dobrą</w:t>
      </w:r>
      <w:proofErr w:type="spellEnd"/>
      <w:r>
        <w:t xml:space="preserve">). </w:t>
      </w:r>
    </w:p>
    <w:p w:rsidR="00BC4EA2" w:rsidRDefault="00BC4EA2" w:rsidP="00BC4EA2">
      <w:pPr>
        <w:numPr>
          <w:ilvl w:val="1"/>
          <w:numId w:val="68"/>
        </w:numPr>
        <w:spacing w:after="15" w:line="247" w:lineRule="auto"/>
        <w:jc w:val="both"/>
      </w:pPr>
      <w:proofErr w:type="spellStart"/>
      <w:r>
        <w:rPr>
          <w:u w:val="single" w:color="000000"/>
        </w:rPr>
        <w:t>Zeszyt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przedmiotowo-ćwiczeniowy</w:t>
      </w:r>
      <w:proofErr w:type="spellEnd"/>
      <w:r>
        <w:rPr>
          <w:u w:val="single" w:color="000000"/>
        </w:rPr>
        <w:t xml:space="preserve"> (</w:t>
      </w:r>
      <w:proofErr w:type="spellStart"/>
      <w:r>
        <w:rPr>
          <w:u w:val="single" w:color="000000"/>
        </w:rPr>
        <w:t>waga</w:t>
      </w:r>
      <w:proofErr w:type="spellEnd"/>
      <w:r>
        <w:rPr>
          <w:u w:val="single" w:color="000000"/>
        </w:rPr>
        <w:t xml:space="preserve"> 1)</w:t>
      </w:r>
      <w:r>
        <w:t xml:space="preserve"> </w:t>
      </w:r>
      <w:proofErr w:type="spellStart"/>
      <w:r>
        <w:t>sprawdzany</w:t>
      </w:r>
      <w:proofErr w:type="spellEnd"/>
      <w:r>
        <w:t xml:space="preserve"> pod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staranności</w:t>
      </w:r>
      <w:proofErr w:type="spellEnd"/>
      <w:r>
        <w:t xml:space="preserve">, </w:t>
      </w:r>
      <w:proofErr w:type="spellStart"/>
      <w:r>
        <w:t>systematyczności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poprawności</w:t>
      </w:r>
      <w:proofErr w:type="spellEnd"/>
      <w:r>
        <w:t xml:space="preserve"> </w:t>
      </w:r>
      <w:proofErr w:type="spellStart"/>
      <w:r>
        <w:t>rzeczowej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</w:t>
      </w:r>
    </w:p>
    <w:p w:rsidR="00BC4EA2" w:rsidRDefault="00BC4EA2" w:rsidP="00BC4EA2">
      <w:pPr>
        <w:ind w:left="10" w:hanging="10"/>
        <w:jc w:val="both"/>
      </w:pP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sprawdzianów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kartkówek</w:t>
      </w:r>
      <w:proofErr w:type="spellEnd"/>
      <w:r>
        <w:t xml:space="preserve"> </w:t>
      </w:r>
      <w:proofErr w:type="spellStart"/>
      <w:r>
        <w:t>przyjmuje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skalę</w:t>
      </w:r>
      <w:proofErr w:type="spellEnd"/>
      <w:r>
        <w:t xml:space="preserve"> </w:t>
      </w:r>
      <w:proofErr w:type="spellStart"/>
      <w:r>
        <w:t>punktową</w:t>
      </w:r>
      <w:proofErr w:type="spellEnd"/>
      <w:r>
        <w:t xml:space="preserve"> </w:t>
      </w:r>
      <w:proofErr w:type="spellStart"/>
      <w:r>
        <w:t>przeliczaną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cyfrowe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: </w:t>
      </w:r>
    </w:p>
    <w:p w:rsidR="00BC4EA2" w:rsidRDefault="00BC4EA2" w:rsidP="00BC4EA2">
      <w:pPr>
        <w:jc w:val="both"/>
      </w:pPr>
      <w:r>
        <w:t xml:space="preserve">                                             100%  –  98%  –  </w:t>
      </w:r>
      <w:proofErr w:type="spellStart"/>
      <w:r>
        <w:t>celujący</w:t>
      </w:r>
      <w:proofErr w:type="spellEnd"/>
    </w:p>
    <w:p w:rsidR="00BC4EA2" w:rsidRDefault="00BC4EA2" w:rsidP="00BC4EA2">
      <w:pPr>
        <w:jc w:val="both"/>
      </w:pPr>
      <w:r>
        <w:t xml:space="preserve">                                             </w:t>
      </w:r>
      <w:r>
        <w:t xml:space="preserve"> </w:t>
      </w:r>
      <w:r>
        <w:t xml:space="preserve"> 90%   –  97%  – 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</w:t>
      </w:r>
    </w:p>
    <w:p w:rsidR="00BC4EA2" w:rsidRDefault="00BC4EA2" w:rsidP="00BC4EA2">
      <w:pPr>
        <w:jc w:val="both"/>
      </w:pPr>
      <w:r>
        <w:t xml:space="preserve">                                             </w:t>
      </w:r>
      <w:r>
        <w:t xml:space="preserve"> </w:t>
      </w:r>
      <w:r>
        <w:t xml:space="preserve"> 75%   –  89%  –  </w:t>
      </w:r>
      <w:proofErr w:type="spellStart"/>
      <w:r>
        <w:t>dobry</w:t>
      </w:r>
      <w:proofErr w:type="spellEnd"/>
    </w:p>
    <w:p w:rsidR="00BC4EA2" w:rsidRDefault="00BC4EA2" w:rsidP="00BC4EA2">
      <w:pPr>
        <w:jc w:val="both"/>
      </w:pPr>
      <w:r>
        <w:t xml:space="preserve">                                             </w:t>
      </w:r>
      <w:r>
        <w:t xml:space="preserve"> </w:t>
      </w:r>
      <w:r>
        <w:t xml:space="preserve"> 51%   –  74%  –  </w:t>
      </w:r>
      <w:proofErr w:type="spellStart"/>
      <w:r>
        <w:t>dostateczny</w:t>
      </w:r>
      <w:proofErr w:type="spellEnd"/>
    </w:p>
    <w:p w:rsidR="00BC4EA2" w:rsidRDefault="00BC4EA2" w:rsidP="00BC4EA2">
      <w:pPr>
        <w:jc w:val="both"/>
      </w:pPr>
      <w:r>
        <w:tab/>
      </w:r>
      <w:r>
        <w:tab/>
      </w:r>
      <w:r>
        <w:tab/>
      </w:r>
      <w:r>
        <w:t xml:space="preserve">       </w:t>
      </w:r>
      <w:r>
        <w:t xml:space="preserve">31%   -  50%  -   </w:t>
      </w:r>
      <w:proofErr w:type="spellStart"/>
      <w:r>
        <w:t>dopuszczający</w:t>
      </w:r>
      <w:proofErr w:type="spellEnd"/>
    </w:p>
    <w:p w:rsidR="00BC4EA2" w:rsidRDefault="00BC4EA2" w:rsidP="00BC4EA2">
      <w:pPr>
        <w:jc w:val="both"/>
      </w:pPr>
      <w:r>
        <w:t xml:space="preserve">                                              </w:t>
      </w:r>
      <w:r>
        <w:t xml:space="preserve"> </w:t>
      </w:r>
      <w:r>
        <w:t xml:space="preserve">30%   –   0%   –  </w:t>
      </w:r>
      <w:proofErr w:type="spellStart"/>
      <w:r>
        <w:t>niedostateczny</w:t>
      </w:r>
      <w:proofErr w:type="spellEnd"/>
      <w:r>
        <w:t xml:space="preserve"> </w:t>
      </w: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proofErr w:type="spellStart"/>
      <w:r>
        <w:t>Nauczyciel</w:t>
      </w:r>
      <w:proofErr w:type="spellEnd"/>
      <w:r>
        <w:t xml:space="preserve"> </w:t>
      </w:r>
      <w:proofErr w:type="spellStart"/>
      <w:r>
        <w:t>oddaje</w:t>
      </w:r>
      <w:proofErr w:type="spellEnd"/>
      <w:r>
        <w:t xml:space="preserve"> </w:t>
      </w:r>
      <w:proofErr w:type="spellStart"/>
      <w:r>
        <w:t>sprawdzone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. </w:t>
      </w: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proofErr w:type="spellStart"/>
      <w:r>
        <w:t>Uczeń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poprawić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niedostateczną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sprawdzianu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oddaniu</w:t>
      </w:r>
      <w:proofErr w:type="spellEnd"/>
      <w:r>
        <w:t xml:space="preserve"> </w:t>
      </w:r>
      <w:proofErr w:type="spellStart"/>
      <w:r>
        <w:t>sprawdzianu</w:t>
      </w:r>
      <w:proofErr w:type="spellEnd"/>
      <w:r>
        <w:t xml:space="preserve">.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chętnych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. Do </w:t>
      </w:r>
      <w:proofErr w:type="spellStart"/>
      <w:r>
        <w:t>dziennika</w:t>
      </w:r>
      <w:proofErr w:type="spellEnd"/>
      <w:r>
        <w:t xml:space="preserve">, </w:t>
      </w:r>
      <w:proofErr w:type="spellStart"/>
      <w:r>
        <w:t>obok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uzyskanej</w:t>
      </w:r>
      <w:proofErr w:type="spellEnd"/>
      <w:r>
        <w:t xml:space="preserve"> </w:t>
      </w:r>
      <w:proofErr w:type="spellStart"/>
      <w:r>
        <w:t>poprzednio</w:t>
      </w:r>
      <w:proofErr w:type="spellEnd"/>
      <w:r>
        <w:t xml:space="preserve">, </w:t>
      </w:r>
      <w:proofErr w:type="spellStart"/>
      <w:r>
        <w:t>wpisuje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„</w:t>
      </w:r>
      <w:proofErr w:type="spellStart"/>
      <w:r>
        <w:t>poprawioną</w:t>
      </w:r>
      <w:proofErr w:type="spellEnd"/>
      <w:r>
        <w:t xml:space="preserve">”. </w:t>
      </w:r>
    </w:p>
    <w:p w:rsidR="00BC4EA2" w:rsidRDefault="00BC4EA2" w:rsidP="00BC4EA2">
      <w:pPr>
        <w:pStyle w:val="Tekstpodstawowy"/>
        <w:widowControl w:val="0"/>
        <w:numPr>
          <w:ilvl w:val="0"/>
          <w:numId w:val="65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-6"/>
        <w:jc w:val="both"/>
      </w:pPr>
      <w:r w:rsidRPr="001572B8">
        <w:t>Na</w:t>
      </w:r>
      <w:r w:rsidRPr="00A33A5C">
        <w:t>u</w:t>
      </w:r>
      <w:r w:rsidRPr="001572B8">
        <w:t>czycie</w:t>
      </w:r>
      <w:r w:rsidRPr="00A33A5C">
        <w:t>l</w:t>
      </w:r>
      <w:r w:rsidRPr="001572B8">
        <w:t xml:space="preserve"> </w:t>
      </w:r>
      <w:r w:rsidRPr="00A33A5C">
        <w:t>ma</w:t>
      </w:r>
      <w:r w:rsidRPr="001572B8">
        <w:t xml:space="preserve"> </w:t>
      </w:r>
      <w:r w:rsidRPr="00A33A5C">
        <w:t>p</w:t>
      </w:r>
      <w:r w:rsidRPr="001572B8">
        <w:t>raw</w:t>
      </w:r>
      <w:r w:rsidRPr="00A33A5C">
        <w:t>o</w:t>
      </w:r>
      <w:r w:rsidRPr="001572B8">
        <w:t xml:space="preserve"> </w:t>
      </w:r>
      <w:r w:rsidRPr="00A33A5C">
        <w:t>odp</w:t>
      </w:r>
      <w:r w:rsidRPr="001572B8">
        <w:t>y</w:t>
      </w:r>
      <w:r w:rsidRPr="00A33A5C">
        <w:t>t</w:t>
      </w:r>
      <w:r w:rsidRPr="001572B8">
        <w:t>ać</w:t>
      </w:r>
      <w:r w:rsidRPr="00A33A5C">
        <w:t>,</w:t>
      </w:r>
      <w:r w:rsidRPr="001572B8">
        <w:t xml:space="preserve"> </w:t>
      </w:r>
      <w:r w:rsidRPr="00A33A5C">
        <w:t>b</w:t>
      </w:r>
      <w:r w:rsidRPr="001572B8">
        <w:t>e</w:t>
      </w:r>
      <w:r w:rsidRPr="00A33A5C">
        <w:t xml:space="preserve">z </w:t>
      </w:r>
      <w:r w:rsidRPr="001572B8">
        <w:t xml:space="preserve"> za</w:t>
      </w:r>
      <w:r w:rsidRPr="00A33A5C">
        <w:t>po</w:t>
      </w:r>
      <w:r w:rsidRPr="001572B8">
        <w:t>w</w:t>
      </w:r>
      <w:r w:rsidRPr="00A33A5C">
        <w:t>i</w:t>
      </w:r>
      <w:r w:rsidRPr="001572B8">
        <w:t>edz</w:t>
      </w:r>
      <w:r w:rsidRPr="00A33A5C">
        <w:t xml:space="preserve">i, </w:t>
      </w:r>
      <w:r w:rsidRPr="001572B8">
        <w:t xml:space="preserve"> </w:t>
      </w:r>
      <w:r w:rsidRPr="00A33A5C">
        <w:t>z</w:t>
      </w:r>
      <w:r w:rsidRPr="001572B8">
        <w:t xml:space="preserve"> </w:t>
      </w:r>
      <w:r w:rsidRPr="00A33A5C">
        <w:t>p</w:t>
      </w:r>
      <w:r w:rsidRPr="001572B8">
        <w:t>rzew</w:t>
      </w:r>
      <w:r w:rsidRPr="00A33A5C">
        <w:t>i</w:t>
      </w:r>
      <w:r w:rsidRPr="001572B8">
        <w:t>dz</w:t>
      </w:r>
      <w:r w:rsidRPr="00A33A5C">
        <w:t>i</w:t>
      </w:r>
      <w:r w:rsidRPr="001572B8">
        <w:t>a</w:t>
      </w:r>
      <w:r w:rsidRPr="00A33A5C">
        <w:t>n</w:t>
      </w:r>
      <w:r w:rsidRPr="001572B8">
        <w:t>eg</w:t>
      </w:r>
      <w:r w:rsidRPr="00A33A5C">
        <w:t xml:space="preserve">o </w:t>
      </w:r>
      <w:r w:rsidRPr="001572B8">
        <w:t xml:space="preserve"> </w:t>
      </w:r>
      <w:r w:rsidRPr="00A33A5C">
        <w:t>sp</w:t>
      </w:r>
      <w:r w:rsidRPr="001572B8">
        <w:t>raw</w:t>
      </w:r>
      <w:r w:rsidRPr="00A33A5C">
        <w:t>d</w:t>
      </w:r>
      <w:r w:rsidRPr="001572B8">
        <w:t>z</w:t>
      </w:r>
      <w:r w:rsidRPr="00A33A5C">
        <w:t>i</w:t>
      </w:r>
      <w:r w:rsidRPr="001572B8">
        <w:t>a</w:t>
      </w:r>
      <w:r w:rsidRPr="00A33A5C">
        <w:t>n</w:t>
      </w:r>
      <w:r w:rsidRPr="001572B8">
        <w:t>e</w:t>
      </w:r>
      <w:r w:rsidRPr="00A33A5C">
        <w:t>m</w:t>
      </w:r>
      <w:r w:rsidRPr="001572B8">
        <w:t xml:space="preserve"> za</w:t>
      </w:r>
      <w:r w:rsidRPr="00A33A5C">
        <w:t>k</w:t>
      </w:r>
      <w:r w:rsidRPr="001572B8">
        <w:t>re</w:t>
      </w:r>
      <w:r w:rsidRPr="00A33A5C">
        <w:t>su</w:t>
      </w:r>
      <w:r w:rsidRPr="001572B8">
        <w:t xml:space="preserve"> w</w:t>
      </w:r>
      <w:r w:rsidRPr="00A33A5C">
        <w:t>i</w:t>
      </w:r>
      <w:r w:rsidRPr="001572B8">
        <w:t>e</w:t>
      </w:r>
      <w:r w:rsidRPr="00A33A5C">
        <w:t>d</w:t>
      </w:r>
      <w:r w:rsidRPr="001572B8">
        <w:t>z</w:t>
      </w:r>
      <w:r w:rsidRPr="00A33A5C">
        <w:t>y</w:t>
      </w:r>
      <w:r w:rsidRPr="001572B8">
        <w:t xml:space="preserve"> </w:t>
      </w:r>
      <w:r w:rsidRPr="00A33A5C">
        <w:t>i</w:t>
      </w:r>
      <w:r w:rsidRPr="001572B8">
        <w:t xml:space="preserve"> </w:t>
      </w:r>
      <w:r w:rsidRPr="00A33A5C">
        <w:t>u</w:t>
      </w:r>
      <w:r w:rsidRPr="001572B8">
        <w:t>m</w:t>
      </w:r>
      <w:r w:rsidRPr="00A33A5C">
        <w:t>i</w:t>
      </w:r>
      <w:r w:rsidRPr="001572B8">
        <w:t>e</w:t>
      </w:r>
      <w:r w:rsidRPr="00A33A5C">
        <w:t>j</w:t>
      </w:r>
      <w:r w:rsidRPr="001572B8">
        <w:t>ę</w:t>
      </w:r>
      <w:r w:rsidRPr="00A33A5C">
        <w:t>tnoś</w:t>
      </w:r>
      <w:r w:rsidRPr="001572B8">
        <w:t>c</w:t>
      </w:r>
      <w:r w:rsidRPr="00A33A5C">
        <w:t>i</w:t>
      </w:r>
      <w:r w:rsidRPr="001572B8">
        <w:t xml:space="preserve"> </w:t>
      </w:r>
      <w:r w:rsidRPr="00A33A5C">
        <w:t>u</w:t>
      </w:r>
      <w:r w:rsidRPr="001572B8">
        <w:t>cz</w:t>
      </w:r>
      <w:r w:rsidRPr="00A33A5C">
        <w:t>ni</w:t>
      </w:r>
      <w:r w:rsidRPr="001572B8">
        <w:t>a</w:t>
      </w:r>
      <w:r w:rsidRPr="00A33A5C">
        <w:t>,</w:t>
      </w:r>
      <w:r w:rsidRPr="001572B8">
        <w:t xml:space="preserve"> </w:t>
      </w:r>
      <w:r w:rsidRPr="00A33A5C">
        <w:t>któ</w:t>
      </w:r>
      <w:r w:rsidRPr="001572B8">
        <w:t>r</w:t>
      </w:r>
      <w:r w:rsidRPr="00A33A5C">
        <w:t>y</w:t>
      </w:r>
      <w:r w:rsidRPr="001572B8">
        <w:t xml:space="preserve"> </w:t>
      </w:r>
      <w:r w:rsidRPr="00A33A5C">
        <w:t>nie</w:t>
      </w:r>
      <w:r w:rsidRPr="001572B8">
        <w:t xml:space="preserve"> </w:t>
      </w:r>
      <w:r w:rsidRPr="00A33A5C">
        <w:t>n</w:t>
      </w:r>
      <w:r w:rsidRPr="001572B8">
        <w:t>a</w:t>
      </w:r>
      <w:r w:rsidRPr="00A33A5C">
        <w:t>p</w:t>
      </w:r>
      <w:r w:rsidRPr="001572B8">
        <w:t>i</w:t>
      </w:r>
      <w:r w:rsidRPr="00A33A5C">
        <w:t>s</w:t>
      </w:r>
      <w:r w:rsidRPr="001572B8">
        <w:t>a</w:t>
      </w:r>
      <w:r w:rsidRPr="00A33A5C">
        <w:t>ł</w:t>
      </w:r>
      <w:r w:rsidRPr="001572B8">
        <w:t xml:space="preserve"> </w:t>
      </w:r>
      <w:r w:rsidRPr="00A33A5C">
        <w:t>w</w:t>
      </w:r>
      <w:r w:rsidRPr="001572B8">
        <w:t xml:space="preserve"> </w:t>
      </w:r>
      <w:r w:rsidRPr="00A33A5C">
        <w:t>t</w:t>
      </w:r>
      <w:r w:rsidRPr="001572B8">
        <w:t>er</w:t>
      </w:r>
      <w:r w:rsidRPr="00A33A5C">
        <w:t>minie</w:t>
      </w:r>
      <w:r w:rsidRPr="001572B8">
        <w:t xml:space="preserve"> </w:t>
      </w:r>
      <w:r w:rsidRPr="00A33A5C">
        <w:t>p</w:t>
      </w:r>
      <w:r w:rsidRPr="001572B8">
        <w:t>rac</w:t>
      </w:r>
      <w:r w:rsidRPr="00A33A5C">
        <w:t>y</w:t>
      </w:r>
      <w:r w:rsidRPr="001572B8">
        <w:t xml:space="preserve"> </w:t>
      </w:r>
      <w:r w:rsidRPr="00A33A5C">
        <w:t>k</w:t>
      </w:r>
      <w:r w:rsidRPr="001572B8">
        <w:t>la</w:t>
      </w:r>
      <w:r w:rsidRPr="00A33A5C">
        <w:t>so</w:t>
      </w:r>
      <w:r w:rsidRPr="001572B8">
        <w:t>we</w:t>
      </w:r>
      <w:r w:rsidRPr="00A33A5C">
        <w:t>j.</w:t>
      </w:r>
    </w:p>
    <w:p w:rsidR="00BC4EA2" w:rsidRDefault="00BC4EA2" w:rsidP="00BC4EA2">
      <w:pPr>
        <w:pStyle w:val="Tekstpodstawowy"/>
        <w:widowControl w:val="0"/>
        <w:numPr>
          <w:ilvl w:val="0"/>
          <w:numId w:val="65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-6" w:hanging="361"/>
        <w:jc w:val="both"/>
      </w:pPr>
      <w:r w:rsidRPr="001572B8">
        <w:rPr>
          <w:spacing w:val="2"/>
        </w:rPr>
        <w:t>D</w:t>
      </w:r>
      <w:r w:rsidRPr="001572B8">
        <w:rPr>
          <w:spacing w:val="-2"/>
        </w:rPr>
        <w:t>l</w:t>
      </w:r>
      <w:r w:rsidRPr="00A33A5C">
        <w:t>a</w:t>
      </w:r>
      <w:r w:rsidRPr="001572B8">
        <w:rPr>
          <w:spacing w:val="13"/>
        </w:rPr>
        <w:t xml:space="preserve"> </w:t>
      </w:r>
      <w:r w:rsidRPr="001572B8">
        <w:rPr>
          <w:spacing w:val="-2"/>
        </w:rPr>
        <w:t>"</w:t>
      </w:r>
      <w:r w:rsidRPr="00A33A5C">
        <w:t>k</w:t>
      </w:r>
      <w:r w:rsidRPr="001572B8">
        <w:rPr>
          <w:spacing w:val="-1"/>
        </w:rPr>
        <w:t>ar</w:t>
      </w:r>
      <w:r w:rsidRPr="00A33A5C">
        <w:t>tkó</w:t>
      </w:r>
      <w:r w:rsidRPr="001572B8">
        <w:rPr>
          <w:spacing w:val="-1"/>
        </w:rPr>
        <w:t>we</w:t>
      </w:r>
      <w:r w:rsidRPr="001572B8">
        <w:rPr>
          <w:spacing w:val="2"/>
        </w:rPr>
        <w:t>k</w:t>
      </w:r>
      <w:r w:rsidRPr="00A33A5C">
        <w:t>"</w:t>
      </w:r>
      <w:r w:rsidRPr="001572B8">
        <w:rPr>
          <w:spacing w:val="11"/>
        </w:rPr>
        <w:t xml:space="preserve"> </w:t>
      </w:r>
      <w:r w:rsidRPr="00A33A5C">
        <w:t>nie</w:t>
      </w:r>
      <w:r w:rsidRPr="001572B8">
        <w:rPr>
          <w:spacing w:val="9"/>
        </w:rPr>
        <w:t xml:space="preserve"> </w:t>
      </w:r>
      <w:r w:rsidRPr="00A33A5C">
        <w:t>p</w:t>
      </w:r>
      <w:r w:rsidRPr="001572B8">
        <w:rPr>
          <w:spacing w:val="-1"/>
        </w:rPr>
        <w:t>r</w:t>
      </w:r>
      <w:r w:rsidRPr="001572B8">
        <w:rPr>
          <w:spacing w:val="1"/>
        </w:rPr>
        <w:t>z</w:t>
      </w:r>
      <w:r w:rsidRPr="001572B8">
        <w:rPr>
          <w:spacing w:val="-1"/>
        </w:rPr>
        <w:t>ew</w:t>
      </w:r>
      <w:r w:rsidRPr="00A33A5C">
        <w:t>iduje</w:t>
      </w:r>
      <w:r w:rsidRPr="001572B8">
        <w:rPr>
          <w:spacing w:val="10"/>
        </w:rPr>
        <w:t xml:space="preserve"> </w:t>
      </w:r>
      <w:r w:rsidRPr="00A33A5C">
        <w:t>się</w:t>
      </w:r>
      <w:r w:rsidRPr="001572B8">
        <w:rPr>
          <w:spacing w:val="11"/>
        </w:rPr>
        <w:t xml:space="preserve"> </w:t>
      </w:r>
      <w:r w:rsidRPr="00A33A5C">
        <w:t>pop</w:t>
      </w:r>
      <w:r w:rsidRPr="001572B8">
        <w:rPr>
          <w:spacing w:val="-1"/>
        </w:rPr>
        <w:t>r</w:t>
      </w:r>
      <w:r w:rsidRPr="001572B8">
        <w:rPr>
          <w:spacing w:val="-5"/>
        </w:rPr>
        <w:t>a</w:t>
      </w:r>
      <w:r w:rsidRPr="001572B8">
        <w:rPr>
          <w:spacing w:val="2"/>
        </w:rPr>
        <w:t>w</w:t>
      </w:r>
      <w:r w:rsidRPr="001572B8">
        <w:rPr>
          <w:spacing w:val="-2"/>
        </w:rPr>
        <w:t>i</w:t>
      </w:r>
      <w:r w:rsidRPr="001572B8">
        <w:rPr>
          <w:spacing w:val="1"/>
        </w:rPr>
        <w:t>a</w:t>
      </w:r>
      <w:r w:rsidRPr="00A33A5C">
        <w:t>nia</w:t>
      </w:r>
      <w:r w:rsidRPr="001572B8">
        <w:rPr>
          <w:w w:val="99"/>
        </w:rPr>
        <w:t xml:space="preserve"> </w:t>
      </w:r>
      <w:r w:rsidRPr="001572B8">
        <w:rPr>
          <w:spacing w:val="-3"/>
        </w:rPr>
        <w:t>s</w:t>
      </w:r>
      <w:r w:rsidRPr="00A33A5C">
        <w:t>topni</w:t>
      </w:r>
      <w:r w:rsidRPr="001572B8">
        <w:rPr>
          <w:spacing w:val="-1"/>
        </w:rPr>
        <w:t>a</w:t>
      </w:r>
      <w:r w:rsidRPr="00A33A5C">
        <w:t>.</w:t>
      </w: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r>
        <w:t xml:space="preserve">Na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zapoznawani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z PSO.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udostępniane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.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jawne</w:t>
      </w:r>
      <w:proofErr w:type="spellEnd"/>
      <w:r>
        <w:t xml:space="preserve">, </w:t>
      </w:r>
      <w:proofErr w:type="spellStart"/>
      <w:r>
        <w:t>oparte</w:t>
      </w:r>
      <w:proofErr w:type="spellEnd"/>
      <w:r>
        <w:t xml:space="preserve"> o </w:t>
      </w:r>
      <w:proofErr w:type="spellStart"/>
      <w:r>
        <w:t>poznane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.  </w:t>
      </w: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proofErr w:type="spellStart"/>
      <w:r>
        <w:t>Sprawdziany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przec</w:t>
      </w:r>
      <w:bookmarkStart w:id="0" w:name="_GoBack"/>
      <w:bookmarkEnd w:id="0"/>
      <w:r>
        <w:t>howywane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do </w:t>
      </w:r>
      <w:proofErr w:type="spellStart"/>
      <w:r>
        <w:t>końca</w:t>
      </w:r>
      <w:proofErr w:type="spellEnd"/>
      <w:r>
        <w:t xml:space="preserve"> </w:t>
      </w:r>
      <w:proofErr w:type="spellStart"/>
      <w:r>
        <w:t>bieżącego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</w:t>
      </w:r>
    </w:p>
    <w:p w:rsidR="00BC4EA2" w:rsidRDefault="00BC4EA2" w:rsidP="00BC4EA2">
      <w:pPr>
        <w:numPr>
          <w:ilvl w:val="0"/>
          <w:numId w:val="65"/>
        </w:numPr>
        <w:spacing w:after="15" w:line="247" w:lineRule="auto"/>
        <w:ind w:hanging="361"/>
        <w:jc w:val="both"/>
      </w:pPr>
      <w:proofErr w:type="spellStart"/>
      <w:r>
        <w:t>Rodzice</w:t>
      </w:r>
      <w:proofErr w:type="spellEnd"/>
      <w:r>
        <w:t xml:space="preserve"> </w:t>
      </w:r>
      <w:proofErr w:type="spellStart"/>
      <w:r>
        <w:t>informowani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o </w:t>
      </w:r>
      <w:proofErr w:type="spellStart"/>
      <w:r>
        <w:t>sposobie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z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o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cząstkowych</w:t>
      </w:r>
      <w:proofErr w:type="spellEnd"/>
      <w:r>
        <w:t xml:space="preserve"> 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semestralnych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rodzicielskich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r>
        <w:br/>
        <w:t xml:space="preserve">z </w:t>
      </w:r>
      <w:proofErr w:type="spellStart"/>
      <w:r>
        <w:t>nauczycielem</w:t>
      </w:r>
      <w:proofErr w:type="spellEnd"/>
      <w:r>
        <w:t xml:space="preserve">. </w:t>
      </w:r>
    </w:p>
    <w:p w:rsidR="00BC4EA2" w:rsidRDefault="00BC4EA2" w:rsidP="00BC4EA2">
      <w:pPr>
        <w:spacing w:line="259" w:lineRule="auto"/>
        <w:jc w:val="both"/>
      </w:pPr>
      <w:r>
        <w:t xml:space="preserve">12) </w:t>
      </w:r>
      <w:proofErr w:type="spellStart"/>
      <w:r>
        <w:t>Podstawą</w:t>
      </w:r>
      <w:proofErr w:type="spellEnd"/>
      <w:r>
        <w:t xml:space="preserve"> do </w:t>
      </w:r>
      <w:proofErr w:type="spellStart"/>
      <w:r>
        <w:t>wystawienia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śródrocznych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roczny</w:t>
      </w:r>
      <w:r w:rsidR="004B29DA">
        <w:t>ch</w:t>
      </w:r>
      <w:proofErr w:type="spellEnd"/>
      <w:r w:rsidR="004B29DA">
        <w:t xml:space="preserve"> jest </w:t>
      </w:r>
      <w:proofErr w:type="spellStart"/>
      <w:r w:rsidR="004B29DA">
        <w:t>średnia</w:t>
      </w:r>
      <w:proofErr w:type="spellEnd"/>
      <w:r w:rsidR="004B29DA">
        <w:t xml:space="preserve"> </w:t>
      </w:r>
      <w:proofErr w:type="spellStart"/>
      <w:r w:rsidR="004B29DA">
        <w:t>ważona</w:t>
      </w:r>
      <w:proofErr w:type="spellEnd"/>
      <w:r w:rsidR="004B29DA">
        <w:t>.</w:t>
      </w:r>
    </w:p>
    <w:p w:rsidR="00B92CD6" w:rsidRPr="00C127F1" w:rsidRDefault="00B92CD6" w:rsidP="00B92CD6">
      <w:pPr>
        <w:pStyle w:val="rozdzial"/>
      </w:pPr>
      <w:r w:rsidRPr="00C127F1">
        <w:lastRenderedPageBreak/>
        <w:t xml:space="preserve">Przedmiotowy system oceniania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913A52" w:rsidRDefault="00B92CD6" w:rsidP="00913A52">
      <w:pPr>
        <w:rPr>
          <w:rStyle w:val="ui-provider"/>
          <w:lang w:eastAsia="pl-PL"/>
        </w:rPr>
      </w:pPr>
      <w:r w:rsidRPr="00372F93">
        <w:rPr>
          <w:rFonts w:ascii="Times New Roman" w:hAnsi="Times New Roman"/>
          <w:sz w:val="20"/>
          <w:szCs w:val="20"/>
        </w:rPr>
        <w:t>4.</w:t>
      </w:r>
      <w:r w:rsidR="005E72D7">
        <w:rPr>
          <w:rFonts w:ascii="Times New Roman" w:hAnsi="Times New Roman"/>
          <w:sz w:val="20"/>
          <w:szCs w:val="20"/>
        </w:rPr>
        <w:t xml:space="preserve"> </w:t>
      </w:r>
      <w:r w:rsidR="00913A52" w:rsidRPr="00913A52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 oraz rozwiązuje zadania o wysokim stopniu trudności.</w:t>
      </w:r>
      <w:r w:rsidR="00913A52">
        <w:rPr>
          <w:rStyle w:val="ui-provider"/>
        </w:rPr>
        <w:t> 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lastRenderedPageBreak/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lastRenderedPageBreak/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</w:t>
            </w:r>
            <w:r w:rsidRPr="0011106B">
              <w:lastRenderedPageBreak/>
              <w:t>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lastRenderedPageBreak/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</w:t>
            </w:r>
            <w:r w:rsidRPr="00C127F1">
              <w:lastRenderedPageBreak/>
              <w:t>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</w:t>
            </w:r>
            <w:r w:rsidRPr="00C127F1">
              <w:lastRenderedPageBreak/>
              <w:t xml:space="preserve">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</w:t>
            </w:r>
            <w:r w:rsidRPr="00D4158A">
              <w:rPr>
                <w:highlight w:val="lightGray"/>
              </w:rPr>
              <w:t>h</w:t>
            </w:r>
            <w:r w:rsidRPr="00D4158A">
              <w:rPr>
                <w:highlight w:val="lightGray"/>
              </w:rPr>
              <w:t>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posługuje się tabelami wielkości fizycznych </w:t>
            </w:r>
            <w:r w:rsidRPr="00C127F1">
              <w:lastRenderedPageBreak/>
              <w:t>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dy zjawisk opisywanych za pomocą oddział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wań międzycząsteczkowych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</w:t>
            </w:r>
            <w:r w:rsidRPr="003765B1">
              <w:rPr>
                <w:highlight w:val="lightGray"/>
              </w:rPr>
              <w:t>k</w:t>
            </w:r>
            <w:r w:rsidRPr="003765B1">
              <w:rPr>
                <w:highlight w:val="lightGray"/>
              </w:rPr>
              <w:t>ście opisuje zjawisko napięcia powierzchniow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opisuje budowę mikroskopową ciał stałych, </w:t>
            </w:r>
            <w:r w:rsidRPr="00C127F1">
              <w:lastRenderedPageBreak/>
              <w:t>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lastRenderedPageBreak/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ływań międzycząsteczkowych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</w:t>
            </w:r>
            <w:r w:rsidRPr="00C127F1">
              <w:t>o</w:t>
            </w:r>
            <w:r w:rsidRPr="00C127F1">
              <w:t>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lastRenderedPageBreak/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wskazuje przykłady występowania siły wyporu w otaczającej rzeczywistości i życiu </w:t>
            </w:r>
            <w:r w:rsidRPr="00C127F1">
              <w:lastRenderedPageBreak/>
              <w:t>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lastRenderedPageBreak/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</w:t>
            </w:r>
            <w:r w:rsidR="004608C5" w:rsidRPr="004608C5">
              <w:t>o</w:t>
            </w:r>
            <w:r w:rsidR="004608C5" w:rsidRPr="004608C5">
              <w:t>krąglony do zadanej liczby cyfr znaczących</w:t>
            </w:r>
            <w:r w:rsidRPr="0011106B">
              <w:t xml:space="preserve">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posługuje się informacjami pochodzącymi </w:t>
            </w:r>
            <w:r w:rsidRPr="00C127F1">
              <w:lastRenderedPageBreak/>
              <w:t>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opisuje zastosowanie prawa Pascala </w:t>
            </w:r>
            <w:r w:rsidRPr="00C127F1">
              <w:lastRenderedPageBreak/>
              <w:t>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</w:t>
            </w:r>
            <w:r w:rsidR="004608C5" w:rsidRPr="004608C5">
              <w:t>ą</w:t>
            </w:r>
            <w:r w:rsidR="004608C5" w:rsidRPr="004608C5">
              <w:t>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 xml:space="preserve">pularnonaukowych) dotyczących ciśnienia </w:t>
            </w:r>
            <w:r w:rsidRPr="00C127F1">
              <w:lastRenderedPageBreak/>
              <w:t>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lastRenderedPageBreak/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lastRenderedPageBreak/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wyznacza wartość prędkości i drogę </w:t>
            </w:r>
            <w:r w:rsidRPr="00C127F1">
              <w:lastRenderedPageBreak/>
              <w:t>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9892670" wp14:editId="0D945C6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lastRenderedPageBreak/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>; fo</w:t>
            </w:r>
            <w:r>
              <w:t>r</w:t>
            </w:r>
            <w:r>
              <w:t xml:space="preserve">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 xml:space="preserve">ci spodziewanego wyniku; zapisuje </w:t>
            </w:r>
            <w:r w:rsidRPr="0011106B">
              <w:lastRenderedPageBreak/>
              <w:t>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</w:t>
            </w:r>
            <w:r w:rsidRPr="0011106B">
              <w:t>o</w:t>
            </w:r>
            <w:r w:rsidRPr="0011106B">
              <w:t>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E119FB2" wp14:editId="75282FA6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48E13D09" wp14:editId="03EF639B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EB33C6C" wp14:editId="6D21E6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546835C6" wp14:editId="3CE3CFE9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lastRenderedPageBreak/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lastRenderedPageBreak/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i nazywa siły oporów ruchu; </w:t>
            </w:r>
            <w:r w:rsidRPr="00C127F1">
              <w:lastRenderedPageBreak/>
              <w:t>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</w:t>
            </w:r>
            <w:r w:rsidRPr="00C127F1">
              <w:t>e</w:t>
            </w:r>
            <w:r w:rsidRPr="00C127F1">
              <w:t>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</w:t>
            </w:r>
            <w:r w:rsidRPr="00C127F1">
              <w:t>e</w:t>
            </w:r>
            <w:r w:rsidRPr="00C127F1">
              <w:t>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</w:t>
            </w:r>
            <w:r w:rsidR="00CE3543" w:rsidRPr="00CE3543">
              <w:t>a</w:t>
            </w:r>
            <w:r w:rsidR="00CE3543" w:rsidRPr="00CE3543">
              <w:t>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lastRenderedPageBreak/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lastRenderedPageBreak/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 xml:space="preserve">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</w:t>
            </w:r>
            <w:r w:rsidR="00CE3543" w:rsidRPr="00CE3543">
              <w:t>a</w:t>
            </w:r>
            <w:r w:rsidR="00CE3543" w:rsidRPr="00CE3543">
              <w:t>nej liczby cyfr znaczących</w:t>
            </w:r>
            <w:r w:rsidRPr="00C127F1">
              <w:t>; wskazuje czynniki istotne i nieistotne dla przebiegu doświa</w:t>
            </w:r>
            <w:r w:rsidRPr="00C127F1">
              <w:t>d</w:t>
            </w:r>
            <w:r w:rsidRPr="00C127F1">
              <w:t>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28AE194" wp14:editId="24FC9208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lastRenderedPageBreak/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wyjaśnia </w:t>
            </w:r>
            <w:r w:rsidRPr="00C127F1">
              <w:lastRenderedPageBreak/>
              <w:t>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1F20063D" wp14:editId="2A9C0FC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lastRenderedPageBreak/>
              <w:t xml:space="preserve">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6220640" wp14:editId="72569B57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lastRenderedPageBreak/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</w:t>
            </w:r>
            <w:r w:rsidRPr="00C127F1">
              <w:t>e</w:t>
            </w:r>
            <w:r w:rsidRPr="00C127F1">
              <w:t>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Praca,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posługuje się tabelami wielkości fizycznych w celu odszukania temperatury topnienia </w:t>
            </w:r>
            <w:r w:rsidRPr="00C127F1">
              <w:lastRenderedPageBreak/>
              <w:t>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</w:t>
            </w:r>
            <w:r w:rsidRPr="00C127F1">
              <w:t>e</w:t>
            </w:r>
            <w:r w:rsidRPr="00C127F1">
              <w:t>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lastRenderedPageBreak/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</w:t>
            </w:r>
            <w:r w:rsidRPr="00C127F1">
              <w:lastRenderedPageBreak/>
              <w:t xml:space="preserve">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1781ECF" wp14:editId="5842CE1A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5E9B2A9" wp14:editId="4177B07F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BACD55" wp14:editId="4463FD83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</w:t>
            </w:r>
            <w:r w:rsidRPr="00C127F1">
              <w:t>a</w:t>
            </w:r>
            <w:r w:rsidRPr="00C127F1">
              <w:t xml:space="preserve">nia); wykonuje obliczenia i zapisuje wynik </w:t>
            </w:r>
            <w:r w:rsidR="00CE3543" w:rsidRPr="00CE3543">
              <w:t>za</w:t>
            </w:r>
            <w:r w:rsidR="00CE3543" w:rsidRPr="00CE3543">
              <w:t>o</w:t>
            </w:r>
            <w:r w:rsidR="00CE3543" w:rsidRPr="00CE3543">
              <w:t>krąglony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wyjaśnia, co dzieje się z energią pobieraną (lub oddawaną) przez mieszaninę substancji </w:t>
            </w:r>
            <w:r w:rsidRPr="00C127F1">
              <w:lastRenderedPageBreak/>
              <w:t>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lastRenderedPageBreak/>
              <w:t xml:space="preserve">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</w:t>
            </w:r>
            <w:r w:rsidRPr="00C127F1">
              <w:t>z</w:t>
            </w:r>
            <w:r w:rsidRPr="00C127F1">
              <w:t>nej; szacuje rząd wielkości spodziewan</w:t>
            </w:r>
            <w:r w:rsidRPr="00C127F1">
              <w:t>e</w:t>
            </w:r>
            <w:r w:rsidRPr="00C127F1">
              <w:t>go wyniku i na tej podstawie ocenia w</w:t>
            </w:r>
            <w:r w:rsidRPr="00C127F1">
              <w:t>y</w:t>
            </w:r>
            <w:r w:rsidRPr="00C127F1">
              <w:t>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AA4615" w:rsidRDefault="00791A66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8"/>
      <w:footerReference w:type="default" r:id="rId1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35" w:rsidRDefault="00767035" w:rsidP="00BD0596">
      <w:r>
        <w:separator/>
      </w:r>
    </w:p>
  </w:endnote>
  <w:endnote w:type="continuationSeparator" w:id="0">
    <w:p w:rsidR="00767035" w:rsidRDefault="00767035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4C" w:rsidRDefault="00821F4C" w:rsidP="00BD0596">
    <w:pPr>
      <w:pStyle w:val="stopkaSc"/>
    </w:pPr>
    <w:r>
      <w:t>Autor: Teresa Szalewska © Copyright by Nowa Era Sp. z o.o. • www.nowaera.pl</w:t>
    </w:r>
  </w:p>
  <w:p w:rsidR="00821F4C" w:rsidRPr="00A65C11" w:rsidRDefault="00821F4C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35" w:rsidRDefault="00767035" w:rsidP="00BD0596">
      <w:r>
        <w:separator/>
      </w:r>
    </w:p>
  </w:footnote>
  <w:footnote w:type="continuationSeparator" w:id="0">
    <w:p w:rsidR="00767035" w:rsidRDefault="00767035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4C" w:rsidRDefault="00821F4C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21F4C" w:rsidRPr="00A65C11" w:rsidRDefault="00821F4C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29DA" w:rsidRPr="004B29DA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821F4C" w:rsidRPr="00A65C11" w:rsidRDefault="00821F4C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4B29DA" w:rsidRPr="004B29DA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21F4C" w:rsidRDefault="00821F4C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821F4C" w:rsidRPr="00A65C11" w:rsidRDefault="00821F4C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821F4C" w:rsidRDefault="00821F4C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821F4C" w:rsidRPr="00A65C11" w:rsidRDefault="00821F4C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21F4C" w:rsidRDefault="00821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A515D3"/>
    <w:multiLevelType w:val="multilevel"/>
    <w:tmpl w:val="C3AC27E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A761E64"/>
    <w:multiLevelType w:val="multilevel"/>
    <w:tmpl w:val="3830E1D8"/>
    <w:lvl w:ilvl="0">
      <w:start w:val="1"/>
      <w:numFmt w:val="decimal"/>
      <w:lvlText w:val="%1."/>
      <w:lvlJc w:val="left"/>
      <w:pPr>
        <w:ind w:left="3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112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5C784104"/>
    <w:multiLevelType w:val="multilevel"/>
    <w:tmpl w:val="CDD2954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5C57415"/>
    <w:multiLevelType w:val="multilevel"/>
    <w:tmpl w:val="5542222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3">
    <w:nsid w:val="65EF58EC"/>
    <w:multiLevelType w:val="multilevel"/>
    <w:tmpl w:val="5C464DC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4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8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8"/>
  </w:num>
  <w:num w:numId="3">
    <w:abstractNumId w:val="45"/>
  </w:num>
  <w:num w:numId="4">
    <w:abstractNumId w:val="39"/>
  </w:num>
  <w:num w:numId="5">
    <w:abstractNumId w:val="25"/>
  </w:num>
  <w:num w:numId="6">
    <w:abstractNumId w:val="35"/>
  </w:num>
  <w:num w:numId="7">
    <w:abstractNumId w:val="2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50"/>
  </w:num>
  <w:num w:numId="9">
    <w:abstractNumId w:val="31"/>
  </w:num>
  <w:num w:numId="10">
    <w:abstractNumId w:val="29"/>
  </w:num>
  <w:num w:numId="11">
    <w:abstractNumId w:val="3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9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2"/>
  </w:num>
  <w:num w:numId="22">
    <w:abstractNumId w:val="48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1"/>
  </w:num>
  <w:num w:numId="29">
    <w:abstractNumId w:val="2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7"/>
  </w:num>
  <w:num w:numId="31">
    <w:abstractNumId w:val="18"/>
  </w:num>
  <w:num w:numId="32">
    <w:abstractNumId w:val="40"/>
  </w:num>
  <w:num w:numId="33">
    <w:abstractNumId w:val="7"/>
  </w:num>
  <w:num w:numId="34">
    <w:abstractNumId w:val="49"/>
  </w:num>
  <w:num w:numId="35">
    <w:abstractNumId w:val="4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44"/>
  </w:num>
  <w:num w:numId="37">
    <w:abstractNumId w:val="41"/>
  </w:num>
  <w:num w:numId="38">
    <w:abstractNumId w:val="14"/>
  </w:num>
  <w:num w:numId="39">
    <w:abstractNumId w:val="33"/>
  </w:num>
  <w:num w:numId="40">
    <w:abstractNumId w:val="3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4"/>
  </w:num>
  <w:num w:numId="42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3"/>
  </w:num>
  <w:num w:numId="48">
    <w:abstractNumId w:val="20"/>
  </w:num>
  <w:num w:numId="49">
    <w:abstractNumId w:val="34"/>
  </w:num>
  <w:num w:numId="50">
    <w:abstractNumId w:val="32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7"/>
  </w:num>
  <w:num w:numId="54">
    <w:abstractNumId w:val="1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30"/>
  </w:num>
  <w:num w:numId="56">
    <w:abstractNumId w:val="46"/>
  </w:num>
  <w:num w:numId="57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7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7"/>
  </w:num>
  <w:num w:numId="63">
    <w:abstractNumId w:val="26"/>
  </w:num>
  <w:num w:numId="64">
    <w:abstractNumId w:val="12"/>
  </w:num>
  <w:num w:numId="65">
    <w:abstractNumId w:val="36"/>
  </w:num>
  <w:num w:numId="66">
    <w:abstractNumId w:val="42"/>
  </w:num>
  <w:num w:numId="67">
    <w:abstractNumId w:val="43"/>
  </w:num>
  <w:num w:numId="68">
    <w:abstractNumId w:val="16"/>
  </w:num>
  <w:num w:numId="69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D74B3"/>
    <w:rsid w:val="000E7C17"/>
    <w:rsid w:val="00122AB9"/>
    <w:rsid w:val="001B791D"/>
    <w:rsid w:val="00272901"/>
    <w:rsid w:val="002B11B2"/>
    <w:rsid w:val="00365356"/>
    <w:rsid w:val="00372F93"/>
    <w:rsid w:val="003765B1"/>
    <w:rsid w:val="003949A2"/>
    <w:rsid w:val="004608C5"/>
    <w:rsid w:val="004B29DA"/>
    <w:rsid w:val="00512715"/>
    <w:rsid w:val="005222FB"/>
    <w:rsid w:val="00556787"/>
    <w:rsid w:val="005C0F60"/>
    <w:rsid w:val="005C330A"/>
    <w:rsid w:val="005E72D7"/>
    <w:rsid w:val="0060697A"/>
    <w:rsid w:val="006233D8"/>
    <w:rsid w:val="00760232"/>
    <w:rsid w:val="00767035"/>
    <w:rsid w:val="00767F47"/>
    <w:rsid w:val="00791A66"/>
    <w:rsid w:val="00804806"/>
    <w:rsid w:val="00821F4C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C4EA2"/>
    <w:rsid w:val="00BD0596"/>
    <w:rsid w:val="00C0057D"/>
    <w:rsid w:val="00C7648F"/>
    <w:rsid w:val="00C96129"/>
    <w:rsid w:val="00CA4C91"/>
    <w:rsid w:val="00CE3543"/>
    <w:rsid w:val="00D3238A"/>
    <w:rsid w:val="00D4158A"/>
    <w:rsid w:val="00D66680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4D9B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paragraph" w:styleId="Tekstpodstawowy">
    <w:name w:val="Body Text"/>
    <w:basedOn w:val="Normalny"/>
    <w:link w:val="TekstpodstawowyZnak"/>
    <w:rsid w:val="00BC4EA2"/>
    <w:pPr>
      <w:spacing w:after="140" w:line="288" w:lineRule="auto"/>
      <w:ind w:left="10" w:hanging="10"/>
    </w:pPr>
    <w:rPr>
      <w:rFonts w:ascii="Times New Roman" w:eastAsia="Times New Roman" w:hAnsi="Times New Roman"/>
      <w:color w:val="000000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4EA2"/>
    <w:rPr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paragraph" w:styleId="Tekstpodstawowy">
    <w:name w:val="Body Text"/>
    <w:basedOn w:val="Normalny"/>
    <w:link w:val="TekstpodstawowyZnak"/>
    <w:rsid w:val="00BC4EA2"/>
    <w:pPr>
      <w:spacing w:after="140" w:line="288" w:lineRule="auto"/>
      <w:ind w:left="10" w:hanging="10"/>
    </w:pPr>
    <w:rPr>
      <w:rFonts w:ascii="Times New Roman" w:eastAsia="Times New Roman" w:hAnsi="Times New Roman"/>
      <w:color w:val="000000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4EA2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1572-B11F-4210-836A-013C2378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7586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Bobrzy syndykat</cp:lastModifiedBy>
  <cp:revision>9</cp:revision>
  <dcterms:created xsi:type="dcterms:W3CDTF">2024-07-29T13:37:00Z</dcterms:created>
  <dcterms:modified xsi:type="dcterms:W3CDTF">2024-09-19T19:30:00Z</dcterms:modified>
</cp:coreProperties>
</file>